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D19575" w14:textId="77777777" w:rsidR="004C7C50" w:rsidRDefault="004C7C50" w:rsidP="00FC0281">
      <w:pPr>
        <w:rPr>
          <w:i/>
          <w:sz w:val="40"/>
        </w:rPr>
      </w:pPr>
    </w:p>
    <w:p w14:paraId="005F7A81" w14:textId="77777777" w:rsidR="00FC0281" w:rsidRDefault="00FC0281" w:rsidP="00FC0281">
      <w:pPr>
        <w:rPr>
          <w:i/>
          <w:sz w:val="40"/>
        </w:rPr>
      </w:pPr>
      <w:r>
        <w:rPr>
          <w:i/>
          <w:sz w:val="40"/>
        </w:rPr>
        <w:t>Egyek Nagyközség Önkormányzatának</w:t>
      </w:r>
    </w:p>
    <w:p w14:paraId="69EB67E6" w14:textId="77777777" w:rsidR="00FC0281" w:rsidRDefault="00FC0281" w:rsidP="00FC0281">
      <w:pPr>
        <w:rPr>
          <w:i/>
          <w:sz w:val="40"/>
        </w:rPr>
      </w:pPr>
      <w:r>
        <w:rPr>
          <w:i/>
          <w:sz w:val="40"/>
        </w:rPr>
        <w:t xml:space="preserve">Képviselő-testülete </w:t>
      </w:r>
    </w:p>
    <w:p w14:paraId="06FDD5E0" w14:textId="77777777" w:rsidR="00FC0281" w:rsidRDefault="00FC0281" w:rsidP="00FC0281">
      <w:pPr>
        <w:rPr>
          <w:i/>
          <w:sz w:val="40"/>
        </w:rPr>
      </w:pPr>
      <w:r>
        <w:rPr>
          <w:i/>
          <w:sz w:val="40"/>
        </w:rPr>
        <w:t>Részére</w:t>
      </w:r>
    </w:p>
    <w:p w14:paraId="5302A2C7" w14:textId="77777777" w:rsidR="00FC0281" w:rsidRDefault="00FC0281" w:rsidP="00FC0281"/>
    <w:p w14:paraId="272B932C" w14:textId="77777777" w:rsidR="00FC0281" w:rsidRDefault="00FC0281" w:rsidP="00FC0281"/>
    <w:p w14:paraId="4DB9C185" w14:textId="77777777" w:rsidR="00FC0281" w:rsidRDefault="00FC0281" w:rsidP="00FC0281"/>
    <w:p w14:paraId="6A41F08B" w14:textId="77777777" w:rsidR="00FC0281" w:rsidRDefault="00FC0281" w:rsidP="00FC0281"/>
    <w:p w14:paraId="7EB5ED8B" w14:textId="77777777" w:rsidR="00FC0281" w:rsidRDefault="00FC0281" w:rsidP="00FC0281"/>
    <w:p w14:paraId="2466E0AA" w14:textId="77777777" w:rsidR="00FC0281" w:rsidRDefault="00FC0281" w:rsidP="00FC0281"/>
    <w:p w14:paraId="19C59448" w14:textId="77777777" w:rsidR="00FC0281" w:rsidRDefault="00FC0281" w:rsidP="00FC0281"/>
    <w:p w14:paraId="4BD63C50" w14:textId="77777777" w:rsidR="00FC0281" w:rsidRDefault="00FC0281" w:rsidP="00FC0281"/>
    <w:p w14:paraId="74D49EB4" w14:textId="77777777" w:rsidR="00FC0281" w:rsidRDefault="00FC0281" w:rsidP="00FC0281"/>
    <w:p w14:paraId="1BD950D6" w14:textId="77777777" w:rsidR="00671609" w:rsidRDefault="00671609" w:rsidP="00FC0281">
      <w:pPr>
        <w:jc w:val="center"/>
        <w:rPr>
          <w:b/>
          <w:sz w:val="40"/>
        </w:rPr>
      </w:pPr>
      <w:r>
        <w:rPr>
          <w:b/>
          <w:sz w:val="40"/>
        </w:rPr>
        <w:t xml:space="preserve">Beszámoló </w:t>
      </w:r>
    </w:p>
    <w:p w14:paraId="7AFED584" w14:textId="77777777" w:rsidR="00A55E26" w:rsidRDefault="00132F6E" w:rsidP="00FC0281">
      <w:pPr>
        <w:jc w:val="center"/>
        <w:rPr>
          <w:b/>
          <w:sz w:val="40"/>
        </w:rPr>
      </w:pPr>
      <w:r>
        <w:rPr>
          <w:b/>
          <w:sz w:val="40"/>
        </w:rPr>
        <w:t>E</w:t>
      </w:r>
      <w:r w:rsidR="00FC0281">
        <w:rPr>
          <w:b/>
          <w:sz w:val="40"/>
        </w:rPr>
        <w:t xml:space="preserve">gyek Nagyközség </w:t>
      </w:r>
      <w:r w:rsidR="00A55E26">
        <w:rPr>
          <w:b/>
          <w:sz w:val="40"/>
        </w:rPr>
        <w:t>Önkormányzatának</w:t>
      </w:r>
    </w:p>
    <w:p w14:paraId="1D521680" w14:textId="6C526C4C" w:rsidR="00A55E26" w:rsidRDefault="004D14C8" w:rsidP="00FC0281">
      <w:pPr>
        <w:jc w:val="center"/>
        <w:rPr>
          <w:b/>
          <w:sz w:val="40"/>
        </w:rPr>
      </w:pPr>
      <w:r>
        <w:rPr>
          <w:b/>
          <w:sz w:val="40"/>
        </w:rPr>
        <w:t>20</w:t>
      </w:r>
      <w:r w:rsidR="00F4778D">
        <w:rPr>
          <w:b/>
          <w:sz w:val="40"/>
        </w:rPr>
        <w:t>2</w:t>
      </w:r>
      <w:r w:rsidR="003B6269">
        <w:rPr>
          <w:b/>
          <w:sz w:val="40"/>
        </w:rPr>
        <w:t>4</w:t>
      </w:r>
      <w:r w:rsidR="003C3EB5">
        <w:rPr>
          <w:b/>
          <w:sz w:val="40"/>
        </w:rPr>
        <w:t>.</w:t>
      </w:r>
      <w:r w:rsidR="00FA685B">
        <w:rPr>
          <w:b/>
          <w:sz w:val="40"/>
        </w:rPr>
        <w:t xml:space="preserve"> évi </w:t>
      </w:r>
    </w:p>
    <w:p w14:paraId="7135F58D" w14:textId="77777777" w:rsidR="00D72CFE" w:rsidRDefault="00FA685B" w:rsidP="00FC0281">
      <w:pPr>
        <w:jc w:val="center"/>
        <w:rPr>
          <w:b/>
          <w:sz w:val="40"/>
        </w:rPr>
      </w:pPr>
      <w:proofErr w:type="gramStart"/>
      <w:r>
        <w:rPr>
          <w:b/>
          <w:sz w:val="40"/>
        </w:rPr>
        <w:t>foglalkoztatáspolitikájáról</w:t>
      </w:r>
      <w:proofErr w:type="gramEnd"/>
      <w:r w:rsidR="00F4778D">
        <w:rPr>
          <w:b/>
          <w:sz w:val="40"/>
        </w:rPr>
        <w:t xml:space="preserve"> és a közmunka helyzetéről </w:t>
      </w:r>
    </w:p>
    <w:p w14:paraId="3E1A263F" w14:textId="77777777" w:rsidR="00FA685B" w:rsidRDefault="00FA685B" w:rsidP="00FC0281">
      <w:pPr>
        <w:jc w:val="center"/>
        <w:rPr>
          <w:b/>
          <w:sz w:val="40"/>
        </w:rPr>
      </w:pPr>
    </w:p>
    <w:p w14:paraId="0C3A1AD4" w14:textId="77777777" w:rsidR="00D72CFE" w:rsidRDefault="00D72CFE" w:rsidP="00FC0281">
      <w:pPr>
        <w:jc w:val="center"/>
        <w:rPr>
          <w:b/>
          <w:sz w:val="40"/>
        </w:rPr>
      </w:pPr>
    </w:p>
    <w:p w14:paraId="2C23E59F" w14:textId="77777777" w:rsidR="0053372A" w:rsidRDefault="0053372A" w:rsidP="00FC0281">
      <w:pPr>
        <w:jc w:val="center"/>
        <w:rPr>
          <w:b/>
          <w:sz w:val="40"/>
        </w:rPr>
      </w:pPr>
    </w:p>
    <w:p w14:paraId="782CDDD9" w14:textId="77777777" w:rsidR="00D72CFE" w:rsidRDefault="00D72CFE" w:rsidP="00FC0281">
      <w:pPr>
        <w:jc w:val="center"/>
        <w:rPr>
          <w:b/>
          <w:sz w:val="40"/>
        </w:rPr>
      </w:pPr>
    </w:p>
    <w:p w14:paraId="6C47CCE8" w14:textId="77777777" w:rsidR="00D72CFE" w:rsidRDefault="00D72CFE" w:rsidP="00FC0281">
      <w:pPr>
        <w:jc w:val="center"/>
        <w:rPr>
          <w:b/>
          <w:sz w:val="40"/>
        </w:rPr>
      </w:pPr>
    </w:p>
    <w:p w14:paraId="198CE2E2" w14:textId="77777777" w:rsidR="00D72CFE" w:rsidRDefault="00D72CFE" w:rsidP="00FC0281">
      <w:pPr>
        <w:jc w:val="center"/>
        <w:rPr>
          <w:b/>
          <w:sz w:val="40"/>
        </w:rPr>
      </w:pPr>
    </w:p>
    <w:p w14:paraId="4CE8C2A8" w14:textId="77777777" w:rsidR="0053372A" w:rsidRDefault="0053372A" w:rsidP="00FC0281">
      <w:pPr>
        <w:jc w:val="center"/>
        <w:rPr>
          <w:b/>
          <w:sz w:val="40"/>
        </w:rPr>
      </w:pPr>
    </w:p>
    <w:p w14:paraId="1880769C" w14:textId="77777777" w:rsidR="00D72CFE" w:rsidRDefault="00D72CFE" w:rsidP="00FC0281">
      <w:pPr>
        <w:jc w:val="center"/>
        <w:rPr>
          <w:b/>
          <w:sz w:val="40"/>
        </w:rPr>
      </w:pPr>
    </w:p>
    <w:p w14:paraId="1352EE67" w14:textId="77777777" w:rsidR="00D72CFE" w:rsidRPr="00D72CFE" w:rsidRDefault="00952688" w:rsidP="00FC02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Készítette: </w:t>
      </w:r>
      <w:r w:rsidR="00F4778D" w:rsidRPr="00F4778D">
        <w:rPr>
          <w:b/>
          <w:sz w:val="28"/>
          <w:szCs w:val="28"/>
        </w:rPr>
        <w:t xml:space="preserve">Tardi Kálmán alpolgármester </w:t>
      </w:r>
      <w:r w:rsidR="00F4778D">
        <w:rPr>
          <w:b/>
          <w:sz w:val="28"/>
          <w:szCs w:val="28"/>
        </w:rPr>
        <w:t xml:space="preserve">és </w:t>
      </w:r>
      <w:r w:rsidR="00D72CFE" w:rsidRPr="00D72CFE">
        <w:rPr>
          <w:b/>
          <w:sz w:val="28"/>
          <w:szCs w:val="28"/>
        </w:rPr>
        <w:t xml:space="preserve">Bóta Barbara </w:t>
      </w:r>
      <w:r w:rsidR="00FF1082">
        <w:rPr>
          <w:b/>
          <w:sz w:val="28"/>
          <w:szCs w:val="28"/>
        </w:rPr>
        <w:t>aljegyző</w:t>
      </w:r>
      <w:r w:rsidR="00F4778D">
        <w:rPr>
          <w:b/>
          <w:sz w:val="28"/>
          <w:szCs w:val="28"/>
        </w:rPr>
        <w:t xml:space="preserve"> </w:t>
      </w:r>
    </w:p>
    <w:p w14:paraId="6F90B3F1" w14:textId="77777777" w:rsidR="00572B07" w:rsidRPr="002B770B" w:rsidRDefault="00572B07" w:rsidP="00560116">
      <w:pPr>
        <w:ind w:left="360"/>
        <w:rPr>
          <w:b/>
          <w:sz w:val="40"/>
        </w:rPr>
      </w:pPr>
    </w:p>
    <w:p w14:paraId="1D540C2E" w14:textId="77777777" w:rsidR="00FC0281" w:rsidRPr="00262391" w:rsidRDefault="00572B07" w:rsidP="00262391">
      <w:pPr>
        <w:pStyle w:val="Cmsor1"/>
        <w:rPr>
          <w:sz w:val="28"/>
          <w:szCs w:val="28"/>
        </w:rPr>
      </w:pPr>
      <w:r>
        <w:rPr>
          <w:sz w:val="40"/>
        </w:rPr>
        <w:br w:type="page"/>
      </w:r>
      <w:bookmarkStart w:id="0" w:name="_Toc252796588"/>
      <w:bookmarkStart w:id="1" w:name="_Toc252801299"/>
      <w:bookmarkStart w:id="2" w:name="_Toc253139183"/>
      <w:r w:rsidR="00FC0281" w:rsidRPr="00262391">
        <w:rPr>
          <w:sz w:val="28"/>
          <w:szCs w:val="28"/>
        </w:rPr>
        <w:lastRenderedPageBreak/>
        <w:t>Bevezetés</w:t>
      </w:r>
      <w:bookmarkEnd w:id="0"/>
      <w:bookmarkEnd w:id="1"/>
      <w:bookmarkEnd w:id="2"/>
    </w:p>
    <w:p w14:paraId="3C63FC48" w14:textId="77777777" w:rsidR="00FC0281" w:rsidRDefault="00FC0281" w:rsidP="00FC0281">
      <w:pPr>
        <w:rPr>
          <w:b/>
          <w:sz w:val="28"/>
          <w:szCs w:val="28"/>
        </w:rPr>
      </w:pPr>
    </w:p>
    <w:p w14:paraId="62D21924" w14:textId="08DCC664" w:rsidR="000A243F" w:rsidRDefault="00B573C3" w:rsidP="0078103E">
      <w:pPr>
        <w:spacing w:line="360" w:lineRule="auto"/>
        <w:jc w:val="both"/>
        <w:rPr>
          <w:bCs/>
        </w:rPr>
      </w:pPr>
      <w:r>
        <w:rPr>
          <w:bCs/>
        </w:rPr>
        <w:t>A Képvis</w:t>
      </w:r>
      <w:r w:rsidR="00C352D5">
        <w:rPr>
          <w:bCs/>
        </w:rPr>
        <w:t>e</w:t>
      </w:r>
      <w:r>
        <w:rPr>
          <w:bCs/>
        </w:rPr>
        <w:t xml:space="preserve">lő-testület </w:t>
      </w:r>
      <w:r w:rsidR="00C352D5">
        <w:rPr>
          <w:bCs/>
        </w:rPr>
        <w:t>2000 év óta minden év</w:t>
      </w:r>
      <w:r w:rsidR="000A243F">
        <w:rPr>
          <w:bCs/>
        </w:rPr>
        <w:t xml:space="preserve">ben </w:t>
      </w:r>
      <w:r w:rsidR="00C352D5">
        <w:rPr>
          <w:bCs/>
        </w:rPr>
        <w:t>napirendre tűzi a település munkaügyi beszámolóját, amely egyrészt Munkaügyi Központ</w:t>
      </w:r>
      <w:r w:rsidR="00A529F6">
        <w:rPr>
          <w:bCs/>
        </w:rPr>
        <w:t xml:space="preserve"> (a Balmazújvárosi Járási Hivatal Foglalkoztatási Osztálya)</w:t>
      </w:r>
      <w:r w:rsidR="00C352D5">
        <w:rPr>
          <w:bCs/>
        </w:rPr>
        <w:t xml:space="preserve"> tájékoztatójából, másrészt a Polgármesteri Hivatal e témakörben készült beszámolójából áll. </w:t>
      </w:r>
      <w:r w:rsidR="00C352D5" w:rsidRPr="00196CF8">
        <w:rPr>
          <w:bCs/>
        </w:rPr>
        <w:t xml:space="preserve">A Polgármesteri Hivatal </w:t>
      </w:r>
      <w:r w:rsidR="00FA5217">
        <w:rPr>
          <w:bCs/>
        </w:rPr>
        <w:t>20</w:t>
      </w:r>
      <w:r w:rsidR="00B56C29">
        <w:rPr>
          <w:bCs/>
        </w:rPr>
        <w:t>20</w:t>
      </w:r>
      <w:r w:rsidR="00C12950">
        <w:rPr>
          <w:bCs/>
        </w:rPr>
        <w:t>.</w:t>
      </w:r>
      <w:r w:rsidR="00FF1082">
        <w:rPr>
          <w:bCs/>
        </w:rPr>
        <w:t xml:space="preserve"> évről szóló beszámolóját a </w:t>
      </w:r>
      <w:r w:rsidR="00FF1082" w:rsidRPr="006764FF">
        <w:rPr>
          <w:bCs/>
        </w:rPr>
        <w:t>20</w:t>
      </w:r>
      <w:r w:rsidR="006F42D8" w:rsidRPr="006764FF">
        <w:rPr>
          <w:bCs/>
        </w:rPr>
        <w:t>2</w:t>
      </w:r>
      <w:r w:rsidR="003B6269">
        <w:rPr>
          <w:bCs/>
        </w:rPr>
        <w:t>4</w:t>
      </w:r>
      <w:r w:rsidR="00A529F6" w:rsidRPr="006764FF">
        <w:rPr>
          <w:bCs/>
        </w:rPr>
        <w:t xml:space="preserve">. </w:t>
      </w:r>
      <w:r w:rsidR="00831F04" w:rsidRPr="000531FB">
        <w:rPr>
          <w:bCs/>
        </w:rPr>
        <w:t xml:space="preserve">január </w:t>
      </w:r>
      <w:r w:rsidR="00503705" w:rsidRPr="000531FB">
        <w:rPr>
          <w:bCs/>
        </w:rPr>
        <w:t>2</w:t>
      </w:r>
      <w:r w:rsidR="00CE2750" w:rsidRPr="000531FB">
        <w:rPr>
          <w:bCs/>
        </w:rPr>
        <w:t>5</w:t>
      </w:r>
      <w:r w:rsidR="00E744BB" w:rsidRPr="006764FF">
        <w:rPr>
          <w:bCs/>
        </w:rPr>
        <w:t>-</w:t>
      </w:r>
      <w:r w:rsidR="00503705">
        <w:rPr>
          <w:bCs/>
        </w:rPr>
        <w:t>e</w:t>
      </w:r>
      <w:r w:rsidR="00FF1082" w:rsidRPr="006764FF">
        <w:rPr>
          <w:bCs/>
        </w:rPr>
        <w:t>i ülésén</w:t>
      </w:r>
      <w:r w:rsidR="00FF1082">
        <w:rPr>
          <w:bCs/>
        </w:rPr>
        <w:t xml:space="preserve"> tárgyalta a testüle</w:t>
      </w:r>
      <w:r w:rsidR="00196CF8" w:rsidRPr="00196CF8">
        <w:rPr>
          <w:bCs/>
        </w:rPr>
        <w:t>t,</w:t>
      </w:r>
      <w:r w:rsidR="00C352D5" w:rsidRPr="00196CF8">
        <w:rPr>
          <w:bCs/>
        </w:rPr>
        <w:t xml:space="preserve"> és</w:t>
      </w:r>
      <w:r w:rsidR="00C352D5">
        <w:rPr>
          <w:bCs/>
        </w:rPr>
        <w:t xml:space="preserve"> a beszámolót elfogadta.</w:t>
      </w:r>
    </w:p>
    <w:p w14:paraId="311B62C1" w14:textId="77777777" w:rsidR="000A243F" w:rsidRDefault="000A243F" w:rsidP="0078103E">
      <w:pPr>
        <w:spacing w:line="360" w:lineRule="auto"/>
        <w:jc w:val="both"/>
        <w:rPr>
          <w:bCs/>
        </w:rPr>
      </w:pPr>
    </w:p>
    <w:p w14:paraId="02A85671" w14:textId="2DA25E8A" w:rsidR="00005053" w:rsidRDefault="00A529F6" w:rsidP="0078103E">
      <w:pPr>
        <w:spacing w:line="360" w:lineRule="auto"/>
        <w:jc w:val="both"/>
        <w:rPr>
          <w:bCs/>
        </w:rPr>
      </w:pPr>
      <w:r>
        <w:rPr>
          <w:bCs/>
        </w:rPr>
        <w:t>A</w:t>
      </w:r>
      <w:r w:rsidR="000A243F">
        <w:rPr>
          <w:bCs/>
        </w:rPr>
        <w:t>z önkormányzat foglalkoztatáspolitikai feladatainak vé</w:t>
      </w:r>
      <w:r w:rsidR="00F31792">
        <w:rPr>
          <w:bCs/>
        </w:rPr>
        <w:t>grehajtásában – a foglalkoztat</w:t>
      </w:r>
      <w:r w:rsidR="000A243F">
        <w:rPr>
          <w:bCs/>
        </w:rPr>
        <w:t>ó intézményeken túl – jórészt a Polgármesteri Hivatal Önkormányzati Irodája vesz részt (közfoglalkoztatás megszervezése</w:t>
      </w:r>
      <w:r w:rsidR="00FF1082">
        <w:rPr>
          <w:bCs/>
        </w:rPr>
        <w:t>,</w:t>
      </w:r>
      <w:r w:rsidR="00005053">
        <w:rPr>
          <w:bCs/>
        </w:rPr>
        <w:t xml:space="preserve"> pályázatok benyújtása és elszámolása</w:t>
      </w:r>
      <w:r w:rsidR="00E321DD">
        <w:rPr>
          <w:bCs/>
        </w:rPr>
        <w:t>)</w:t>
      </w:r>
      <w:r w:rsidR="000A243F">
        <w:rPr>
          <w:bCs/>
        </w:rPr>
        <w:t>.</w:t>
      </w:r>
      <w:r w:rsidR="00D15E23">
        <w:rPr>
          <w:bCs/>
        </w:rPr>
        <w:t xml:space="preserve"> </w:t>
      </w:r>
    </w:p>
    <w:p w14:paraId="0F08D5BD" w14:textId="77777777" w:rsidR="00005053" w:rsidRDefault="00005053" w:rsidP="0078103E">
      <w:pPr>
        <w:spacing w:line="360" w:lineRule="auto"/>
        <w:jc w:val="both"/>
        <w:rPr>
          <w:bCs/>
        </w:rPr>
      </w:pPr>
    </w:p>
    <w:p w14:paraId="60FC7F57" w14:textId="77777777" w:rsidR="00D15E23" w:rsidRDefault="00E321DD" w:rsidP="0078103E">
      <w:pPr>
        <w:spacing w:line="360" w:lineRule="auto"/>
        <w:jc w:val="both"/>
        <w:rPr>
          <w:bCs/>
        </w:rPr>
      </w:pPr>
      <w:r>
        <w:rPr>
          <w:bCs/>
        </w:rPr>
        <w:t>A kö</w:t>
      </w:r>
      <w:r w:rsidR="001525BD">
        <w:rPr>
          <w:bCs/>
        </w:rPr>
        <w:t xml:space="preserve">zfoglalkoztatás megszervezését </w:t>
      </w:r>
      <w:r w:rsidR="00B56C29">
        <w:rPr>
          <w:bCs/>
        </w:rPr>
        <w:t xml:space="preserve">- </w:t>
      </w:r>
      <w:r w:rsidR="001525BD">
        <w:rPr>
          <w:bCs/>
        </w:rPr>
        <w:t>az aljegyző irányítása mellett</w:t>
      </w:r>
      <w:r w:rsidR="00B56C29">
        <w:rPr>
          <w:bCs/>
        </w:rPr>
        <w:t xml:space="preserve"> -</w:t>
      </w:r>
      <w:r w:rsidR="001525BD">
        <w:rPr>
          <w:bCs/>
        </w:rPr>
        <w:t xml:space="preserve"> </w:t>
      </w:r>
      <w:r w:rsidR="00B56C29">
        <w:rPr>
          <w:bCs/>
        </w:rPr>
        <w:t>2</w:t>
      </w:r>
      <w:r w:rsidR="001525BD">
        <w:rPr>
          <w:bCs/>
        </w:rPr>
        <w:t xml:space="preserve"> fő köztisztviselő, valamint </w:t>
      </w:r>
      <w:r w:rsidR="00D15E23">
        <w:rPr>
          <w:bCs/>
        </w:rPr>
        <w:t xml:space="preserve">a mintaprojektek során (adminisztrátorként, </w:t>
      </w:r>
      <w:r w:rsidR="005A48FB">
        <w:rPr>
          <w:bCs/>
        </w:rPr>
        <w:t>ügyintézőként</w:t>
      </w:r>
      <w:r w:rsidR="00D15E23">
        <w:rPr>
          <w:bCs/>
        </w:rPr>
        <w:t>) alkalmazott, határo</w:t>
      </w:r>
      <w:r w:rsidR="00FA5217">
        <w:rPr>
          <w:bCs/>
        </w:rPr>
        <w:t>zott idejű szerződés</w:t>
      </w:r>
      <w:r w:rsidR="00D15E23">
        <w:rPr>
          <w:bCs/>
        </w:rPr>
        <w:t>ű közfoglalkoztatottak látják el.</w:t>
      </w:r>
    </w:p>
    <w:p w14:paraId="51AE089E" w14:textId="77777777" w:rsidR="00FA5217" w:rsidRDefault="00FA5217" w:rsidP="0078103E">
      <w:pPr>
        <w:spacing w:line="360" w:lineRule="auto"/>
        <w:jc w:val="both"/>
        <w:rPr>
          <w:bCs/>
        </w:rPr>
      </w:pPr>
    </w:p>
    <w:p w14:paraId="1C8D7157" w14:textId="77777777" w:rsidR="00EE5406" w:rsidRDefault="00C32409" w:rsidP="00D15E23">
      <w:pPr>
        <w:spacing w:line="360" w:lineRule="auto"/>
        <w:jc w:val="both"/>
      </w:pPr>
      <w:r>
        <w:t xml:space="preserve"> A</w:t>
      </w:r>
      <w:r w:rsidR="00AC5873">
        <w:t xml:space="preserve"> beszámolóban</w:t>
      </w:r>
      <w:r>
        <w:t xml:space="preserve"> szereplő adatok</w:t>
      </w:r>
      <w:r w:rsidR="00AC5873">
        <w:t xml:space="preserve"> </w:t>
      </w:r>
      <w:r w:rsidR="00E2788A">
        <w:t>–</w:t>
      </w:r>
      <w:r w:rsidR="00AC5873">
        <w:t xml:space="preserve"> úgy</w:t>
      </w:r>
      <w:r w:rsidR="00E2788A">
        <w:t>,</w:t>
      </w:r>
      <w:r w:rsidR="00AC5873">
        <w:t xml:space="preserve"> mint a korábbi években -</w:t>
      </w:r>
      <w:r>
        <w:t xml:space="preserve"> az </w:t>
      </w:r>
      <w:r w:rsidR="00226BD1">
        <w:t xml:space="preserve">e feladattal foglalkozó </w:t>
      </w:r>
      <w:r>
        <w:t>munkatársa</w:t>
      </w:r>
      <w:r w:rsidR="00226BD1">
        <w:t>k</w:t>
      </w:r>
      <w:r>
        <w:t xml:space="preserve"> által</w:t>
      </w:r>
      <w:r w:rsidR="00D15E23">
        <w:t xml:space="preserve"> </w:t>
      </w:r>
      <w:r>
        <w:t>vezetett nyilvántartásokon, kimutatá</w:t>
      </w:r>
      <w:r w:rsidR="0006471D">
        <w:t>sokon, adatbázisokon alapulnak.</w:t>
      </w:r>
    </w:p>
    <w:p w14:paraId="7941C535" w14:textId="77777777" w:rsidR="00F4778D" w:rsidRDefault="00F4778D" w:rsidP="00D15E23">
      <w:pPr>
        <w:spacing w:line="360" w:lineRule="auto"/>
        <w:jc w:val="both"/>
      </w:pPr>
    </w:p>
    <w:p w14:paraId="6B3781B4" w14:textId="77777777" w:rsidR="00F4778D" w:rsidRDefault="00B56C29" w:rsidP="00D15E23">
      <w:pPr>
        <w:spacing w:line="360" w:lineRule="auto"/>
        <w:jc w:val="both"/>
        <w:rPr>
          <w:b/>
        </w:rPr>
      </w:pPr>
      <w:r>
        <w:t xml:space="preserve">E beszámoló keretében </w:t>
      </w:r>
      <w:r w:rsidR="00F4778D">
        <w:t>alpolgármester úr, aki a közfoglalkoztatási programok irányítását végzi, beszámol a közmunka programokban végzett feladatokról. Korábban erről külön beszámoló készült, de - a feladatok szoros összefüggése miatt - a beszámolók összevonásra kerültek.</w:t>
      </w:r>
    </w:p>
    <w:p w14:paraId="4B77D58B" w14:textId="77777777" w:rsidR="0020232B" w:rsidRDefault="00092286" w:rsidP="00005053">
      <w:pPr>
        <w:pStyle w:val="Cmsor1"/>
        <w:numPr>
          <w:ilvl w:val="0"/>
          <w:numId w:val="0"/>
        </w:numPr>
        <w:ind w:left="432"/>
      </w:pPr>
      <w:r>
        <w:br w:type="page"/>
      </w:r>
      <w:bookmarkStart w:id="3" w:name="_Toc252796590"/>
      <w:bookmarkStart w:id="4" w:name="_Toc252801301"/>
    </w:p>
    <w:p w14:paraId="4F4818C7" w14:textId="77777777" w:rsidR="00431ED9" w:rsidRPr="00894BDA" w:rsidRDefault="00D223BA" w:rsidP="00043195">
      <w:pPr>
        <w:pStyle w:val="Cmsor1"/>
        <w:numPr>
          <w:ilvl w:val="0"/>
          <w:numId w:val="0"/>
        </w:numPr>
        <w:rPr>
          <w:sz w:val="28"/>
          <w:szCs w:val="28"/>
        </w:rPr>
      </w:pPr>
      <w:bookmarkStart w:id="5" w:name="_Toc253139191"/>
      <w:bookmarkEnd w:id="3"/>
      <w:bookmarkEnd w:id="4"/>
      <w:r>
        <w:rPr>
          <w:sz w:val="28"/>
          <w:szCs w:val="28"/>
        </w:rPr>
        <w:lastRenderedPageBreak/>
        <w:t xml:space="preserve">2 </w:t>
      </w:r>
      <w:r w:rsidR="002B770B">
        <w:rPr>
          <w:sz w:val="28"/>
          <w:szCs w:val="28"/>
        </w:rPr>
        <w:t xml:space="preserve">A </w:t>
      </w:r>
      <w:r w:rsidR="00431ED9" w:rsidRPr="00894BDA">
        <w:rPr>
          <w:sz w:val="28"/>
          <w:szCs w:val="28"/>
        </w:rPr>
        <w:t>közfoglalkoztatás megszervezése</w:t>
      </w:r>
      <w:bookmarkEnd w:id="5"/>
    </w:p>
    <w:p w14:paraId="1BEB579F" w14:textId="77777777" w:rsidR="00431ED9" w:rsidRDefault="00431ED9" w:rsidP="00C844BB">
      <w:pPr>
        <w:jc w:val="both"/>
      </w:pPr>
    </w:p>
    <w:p w14:paraId="2E8D339F" w14:textId="05D3B604" w:rsidR="00463367" w:rsidRDefault="00765E1B" w:rsidP="00765E1B">
      <w:pPr>
        <w:spacing w:line="360" w:lineRule="auto"/>
        <w:jc w:val="both"/>
      </w:pPr>
      <w:r w:rsidRPr="001C57E4">
        <w:t>20</w:t>
      </w:r>
      <w:r w:rsidR="007A7080">
        <w:t>2</w:t>
      </w:r>
      <w:r w:rsidR="00A13C23">
        <w:t>4</w:t>
      </w:r>
      <w:r w:rsidR="00503705">
        <w:t>.</w:t>
      </w:r>
      <w:r w:rsidR="009B25C7">
        <w:t xml:space="preserve"> </w:t>
      </w:r>
      <w:r w:rsidRPr="001C57E4">
        <w:t>évben</w:t>
      </w:r>
      <w:r w:rsidR="007A7080">
        <w:t xml:space="preserve"> is </w:t>
      </w:r>
      <w:r w:rsidR="00E2788A">
        <w:t>3</w:t>
      </w:r>
      <w:r w:rsidRPr="001C57E4">
        <w:t xml:space="preserve"> kistérségi start mintaprojekt kerül</w:t>
      </w:r>
      <w:r w:rsidR="00386FDA">
        <w:t>t</w:t>
      </w:r>
      <w:r w:rsidR="00280E89">
        <w:t xml:space="preserve"> </w:t>
      </w:r>
      <w:r w:rsidRPr="001C57E4">
        <w:t>megvalósításra</w:t>
      </w:r>
      <w:r w:rsidR="008800B2">
        <w:t>. Ezek a mezőgazdasági, a helyi sajátosságokra épülő, valamint a szociális jellegű közfoglalkoztatási mintaprojektek. A mezőgazdasági projektben 2</w:t>
      </w:r>
      <w:r w:rsidR="00700D79">
        <w:t>0</w:t>
      </w:r>
      <w:r w:rsidR="008800B2">
        <w:t xml:space="preserve"> főt, a </w:t>
      </w:r>
      <w:r w:rsidR="008800B2" w:rsidRPr="0042669E">
        <w:t>helyi sa</w:t>
      </w:r>
      <w:r w:rsidR="0042669E" w:rsidRPr="0042669E">
        <w:t xml:space="preserve">játosságokra épülő projektben </w:t>
      </w:r>
      <w:r w:rsidR="00700D79">
        <w:t>57</w:t>
      </w:r>
      <w:r w:rsidR="008800B2" w:rsidRPr="0042669E">
        <w:t xml:space="preserve"> főt, míg a szociális jellegű mintaprojektben </w:t>
      </w:r>
      <w:r w:rsidR="0042669E" w:rsidRPr="0042669E">
        <w:t>1</w:t>
      </w:r>
      <w:r w:rsidR="00700D79">
        <w:t>14</w:t>
      </w:r>
      <w:r w:rsidR="008800B2" w:rsidRPr="0042669E">
        <w:t xml:space="preserve"> főt foglalkoztattunk. </w:t>
      </w:r>
      <w:r w:rsidR="00280E89">
        <w:t xml:space="preserve"> </w:t>
      </w:r>
    </w:p>
    <w:p w14:paraId="7A0231D3" w14:textId="77777777" w:rsidR="00280E89" w:rsidRDefault="00280E89" w:rsidP="00765E1B">
      <w:pPr>
        <w:spacing w:line="360" w:lineRule="auto"/>
        <w:jc w:val="both"/>
      </w:pPr>
    </w:p>
    <w:p w14:paraId="413E6E67" w14:textId="3078F936" w:rsidR="00765E1B" w:rsidRDefault="00765E1B" w:rsidP="00765E1B">
      <w:pPr>
        <w:spacing w:line="360" w:lineRule="auto"/>
        <w:jc w:val="both"/>
      </w:pPr>
      <w:r>
        <w:t>A mintaprojekteken túl az idei évben</w:t>
      </w:r>
      <w:r w:rsidR="008800B2">
        <w:t xml:space="preserve"> </w:t>
      </w:r>
      <w:r w:rsidR="00700D79">
        <w:t xml:space="preserve">is </w:t>
      </w:r>
      <w:r w:rsidR="00E10F27">
        <w:t>továb</w:t>
      </w:r>
      <w:r w:rsidR="00533797">
        <w:t xml:space="preserve">bi </w:t>
      </w:r>
      <w:r w:rsidR="00CE2750">
        <w:t>2</w:t>
      </w:r>
      <w:r>
        <w:t xml:space="preserve"> hosszabb időtartamú közfoglalkoztatás megvalósítására került sor. </w:t>
      </w:r>
      <w:r w:rsidR="00463367">
        <w:t>A</w:t>
      </w:r>
      <w:r w:rsidR="00E10F27">
        <w:t xml:space="preserve"> programokat</w:t>
      </w:r>
      <w:r w:rsidR="008800B2">
        <w:t xml:space="preserve"> továbbra is</w:t>
      </w:r>
      <w:r w:rsidR="00E10F27">
        <w:t xml:space="preserve"> 100%-os támogatás mellett tudtuk me</w:t>
      </w:r>
      <w:r w:rsidR="00CE2750">
        <w:t>gvalósítani. A 202</w:t>
      </w:r>
      <w:r w:rsidR="00700D79">
        <w:t>4</w:t>
      </w:r>
      <w:r w:rsidR="00CE2750">
        <w:t>.03.01-től, 2023.</w:t>
      </w:r>
      <w:r w:rsidR="00700D79">
        <w:t>08.3</w:t>
      </w:r>
      <w:r w:rsidR="00CE2750">
        <w:t>1</w:t>
      </w:r>
      <w:r w:rsidR="00700D79">
        <w:t>-</w:t>
      </w:r>
      <w:r w:rsidR="00CE2750">
        <w:t xml:space="preserve">ig tartó programban </w:t>
      </w:r>
      <w:r w:rsidR="00700D79">
        <w:t>69</w:t>
      </w:r>
      <w:r w:rsidR="00CE2750">
        <w:t xml:space="preserve"> főt foglalkoztattunk, a 202</w:t>
      </w:r>
      <w:r w:rsidR="00700D79">
        <w:t>4</w:t>
      </w:r>
      <w:r w:rsidR="00CE2750">
        <w:t>.</w:t>
      </w:r>
      <w:r w:rsidR="00700D79">
        <w:t>09</w:t>
      </w:r>
      <w:r w:rsidR="00CE2750">
        <w:t>.01-től induló 202</w:t>
      </w:r>
      <w:r w:rsidR="00700D79">
        <w:t>5</w:t>
      </w:r>
      <w:r w:rsidR="00CE2750">
        <w:t>.02.2</w:t>
      </w:r>
      <w:r w:rsidR="00700D79">
        <w:t>8</w:t>
      </w:r>
      <w:r w:rsidR="00CE2750">
        <w:t xml:space="preserve">-ig tartó programban </w:t>
      </w:r>
      <w:r w:rsidR="00700D79">
        <w:t>62</w:t>
      </w:r>
      <w:r w:rsidR="00CE2750">
        <w:t xml:space="preserve"> főt foglalkoztatunk. </w:t>
      </w:r>
      <w:r w:rsidR="00700D79">
        <w:t>A</w:t>
      </w:r>
      <w:r w:rsidR="00CE2750">
        <w:t xml:space="preserve">z önállón gazdálkodó intézményeknek, már saját maguknak kell a pályázatukat benyújtani és a munkavállalókat foglalkoztatni. </w:t>
      </w:r>
      <w:r w:rsidR="00700D79">
        <w:t>Így a</w:t>
      </w:r>
      <w:r w:rsidR="00623B51">
        <w:t xml:space="preserve"> </w:t>
      </w:r>
      <w:r w:rsidR="00CE2750">
        <w:t xml:space="preserve">Szöghatár </w:t>
      </w:r>
      <w:r w:rsidR="00623B51">
        <w:t>K</w:t>
      </w:r>
      <w:r w:rsidR="00CE2750">
        <w:t>ft</w:t>
      </w:r>
      <w:r w:rsidR="00700D79">
        <w:t>. 2024. évben is – sajá</w:t>
      </w:r>
      <w:r w:rsidR="00B20645">
        <w:t>t</w:t>
      </w:r>
      <w:r w:rsidR="00700D79">
        <w:t xml:space="preserve"> dolgozói tekintetében – önállóan pályázott és</w:t>
      </w:r>
      <w:r w:rsidR="00B20645">
        <w:t xml:space="preserve"> saját maga foglalkoztatta dolgozóit.</w:t>
      </w:r>
      <w:r w:rsidR="00700D79">
        <w:t xml:space="preserve"> </w:t>
      </w:r>
      <w:r w:rsidR="00CE2750">
        <w:t xml:space="preserve"> </w:t>
      </w:r>
    </w:p>
    <w:p w14:paraId="0A39DAFB" w14:textId="77777777" w:rsidR="00765E1B" w:rsidRDefault="00765E1B" w:rsidP="00765E1B">
      <w:pPr>
        <w:spacing w:line="360" w:lineRule="auto"/>
        <w:jc w:val="both"/>
      </w:pPr>
    </w:p>
    <w:p w14:paraId="4B8FC70A" w14:textId="664177E8" w:rsidR="00623B51" w:rsidRDefault="00623B51" w:rsidP="00623B51">
      <w:pPr>
        <w:spacing w:line="360" w:lineRule="auto"/>
        <w:jc w:val="both"/>
      </w:pPr>
      <w:r w:rsidRPr="00623B51">
        <w:t>202</w:t>
      </w:r>
      <w:r>
        <w:t>3</w:t>
      </w:r>
      <w:r w:rsidRPr="00623B51">
        <w:t xml:space="preserve">. évben </w:t>
      </w:r>
      <w:r>
        <w:t>6</w:t>
      </w:r>
      <w:r w:rsidRPr="00623B51">
        <w:t xml:space="preserve"> db pályázatot nyújtottunk be, ezekkel összesen </w:t>
      </w:r>
      <w:r>
        <w:t>523 548 724</w:t>
      </w:r>
      <w:r w:rsidRPr="00623B51">
        <w:t xml:space="preserve"> Ft támogatáshoz jutottunk, ebből a közvetlen költségek támogatására </w:t>
      </w:r>
      <w:r w:rsidR="00333264">
        <w:t>48 439 852</w:t>
      </w:r>
      <w:r w:rsidRPr="00623B51">
        <w:t xml:space="preserve"> Ft-ot kaptunk, amit </w:t>
      </w:r>
      <w:r w:rsidR="00390F0C" w:rsidRPr="00390F0C">
        <w:t>5 903 212</w:t>
      </w:r>
      <w:r w:rsidRPr="00390F0C">
        <w:t xml:space="preserve"> Ft ö</w:t>
      </w:r>
      <w:r w:rsidRPr="00623B51">
        <w:t>nkormányzati önerővel egészítettünk ki.</w:t>
      </w:r>
    </w:p>
    <w:p w14:paraId="1AEB8D56" w14:textId="3D720659" w:rsidR="00B20645" w:rsidRPr="00B20645" w:rsidRDefault="00B20645" w:rsidP="00B20645">
      <w:pPr>
        <w:spacing w:line="360" w:lineRule="auto"/>
        <w:jc w:val="both"/>
      </w:pPr>
      <w:r w:rsidRPr="00B20645">
        <w:t>202</w:t>
      </w:r>
      <w:r>
        <w:t>4</w:t>
      </w:r>
      <w:r w:rsidRPr="00B20645">
        <w:t xml:space="preserve">. évben </w:t>
      </w:r>
      <w:r>
        <w:t>5</w:t>
      </w:r>
      <w:r w:rsidRPr="00B20645">
        <w:t xml:space="preserve"> db pályázatot nyújtottunk be, ezekkel összesen 486 015</w:t>
      </w:r>
      <w:r>
        <w:t> </w:t>
      </w:r>
      <w:r w:rsidRPr="00B20645">
        <w:t>335</w:t>
      </w:r>
      <w:r>
        <w:t xml:space="preserve"> </w:t>
      </w:r>
      <w:r w:rsidRPr="00B20645">
        <w:t xml:space="preserve">Ft támogatáshoz jutottunk, ebből a közvetlen költségek támogatására 41 489 885-ot kaptunk, amit </w:t>
      </w:r>
      <w:r>
        <w:t>4 950 998</w:t>
      </w:r>
      <w:r w:rsidRPr="00B20645">
        <w:t xml:space="preserve"> Ft önkormányzati önerővel egészítettünk ki.</w:t>
      </w:r>
    </w:p>
    <w:p w14:paraId="0964A238" w14:textId="77777777" w:rsidR="00B20645" w:rsidRPr="00623B51" w:rsidRDefault="00B20645" w:rsidP="00623B51">
      <w:pPr>
        <w:spacing w:line="360" w:lineRule="auto"/>
        <w:jc w:val="both"/>
      </w:pPr>
    </w:p>
    <w:p w14:paraId="707C48CA" w14:textId="50280DF2" w:rsidR="002032F7" w:rsidRDefault="009C62EF" w:rsidP="00765E1B">
      <w:pPr>
        <w:spacing w:line="360" w:lineRule="auto"/>
        <w:jc w:val="both"/>
      </w:pPr>
      <w:r>
        <w:t>20</w:t>
      </w:r>
      <w:r w:rsidR="007A7080">
        <w:t>2</w:t>
      </w:r>
      <w:r w:rsidR="00B20645">
        <w:t>4</w:t>
      </w:r>
      <w:r>
        <w:t>-b</w:t>
      </w:r>
      <w:r w:rsidR="00533797">
        <w:t>e</w:t>
      </w:r>
      <w:r>
        <w:t xml:space="preserve">n a </w:t>
      </w:r>
      <w:r w:rsidR="001403A2">
        <w:t xml:space="preserve">támogatások </w:t>
      </w:r>
      <w:r w:rsidR="00D45617">
        <w:t xml:space="preserve">322 álláshelyen, </w:t>
      </w:r>
      <w:r w:rsidR="00D45617" w:rsidRPr="00D45617">
        <w:t xml:space="preserve">összesen </w:t>
      </w:r>
      <w:r w:rsidR="0042669E" w:rsidRPr="000E3FD3">
        <w:t>4</w:t>
      </w:r>
      <w:r w:rsidR="000E3FD3" w:rsidRPr="000E3FD3">
        <w:t>15</w:t>
      </w:r>
      <w:r w:rsidR="008800B2" w:rsidRPr="000E3FD3">
        <w:t xml:space="preserve"> </w:t>
      </w:r>
      <w:r w:rsidR="001403A2" w:rsidRPr="000E3FD3">
        <w:t>fő</w:t>
      </w:r>
      <w:r w:rsidR="001403A2">
        <w:t xml:space="preserve"> foglalkozta</w:t>
      </w:r>
      <w:r w:rsidR="003C2002">
        <w:t>tására nyújtottak lehetőséget</w:t>
      </w:r>
      <w:r w:rsidR="008800B2">
        <w:t xml:space="preserve"> (ez a szám előző évben </w:t>
      </w:r>
      <w:r w:rsidR="00623B51">
        <w:t>42</w:t>
      </w:r>
      <w:r w:rsidR="00B20645">
        <w:t>4</w:t>
      </w:r>
      <w:r w:rsidR="008800B2">
        <w:t xml:space="preserve"> fő volt)</w:t>
      </w:r>
      <w:r w:rsidR="003C2002">
        <w:t xml:space="preserve">.  </w:t>
      </w:r>
    </w:p>
    <w:p w14:paraId="6B0152E9" w14:textId="77777777" w:rsidR="0045282F" w:rsidRDefault="0045282F" w:rsidP="00464057">
      <w:pPr>
        <w:spacing w:line="360" w:lineRule="auto"/>
        <w:jc w:val="both"/>
      </w:pPr>
    </w:p>
    <w:p w14:paraId="2CD69348" w14:textId="77777777" w:rsidR="00976C41" w:rsidRDefault="00A402CA" w:rsidP="00464057">
      <w:pPr>
        <w:spacing w:line="360" w:lineRule="auto"/>
        <w:jc w:val="both"/>
        <w:rPr>
          <w:b/>
        </w:rPr>
      </w:pPr>
      <w:r>
        <w:t xml:space="preserve"> </w:t>
      </w:r>
      <w:r w:rsidR="00D56CB3" w:rsidRPr="00A402CA">
        <w:t>A</w:t>
      </w:r>
      <w:r w:rsidR="00976C41" w:rsidRPr="00A402CA">
        <w:t xml:space="preserve"> közfoglalkoztatás megvalósításához </w:t>
      </w:r>
      <w:r w:rsidRPr="00A402CA">
        <w:t>kapcsolódó</w:t>
      </w:r>
      <w:r w:rsidR="00976C41" w:rsidRPr="00A402CA">
        <w:t xml:space="preserve"> pályázatok </w:t>
      </w:r>
      <w:r w:rsidRPr="00A402CA">
        <w:t>fontosabb adatait</w:t>
      </w:r>
      <w:r w:rsidR="00976C41" w:rsidRPr="00A402CA">
        <w:t xml:space="preserve"> a következő oldalon található táblázatban foglaltuk össze.</w:t>
      </w:r>
    </w:p>
    <w:p w14:paraId="3EDCF484" w14:textId="77777777" w:rsidR="00976C41" w:rsidRDefault="00976C41" w:rsidP="00464057">
      <w:pPr>
        <w:spacing w:line="360" w:lineRule="auto"/>
        <w:jc w:val="both"/>
        <w:rPr>
          <w:b/>
        </w:rPr>
        <w:sectPr w:rsidR="00976C41" w:rsidSect="007F4D03">
          <w:headerReference w:type="default" r:id="rId9"/>
          <w:footerReference w:type="even" r:id="rId10"/>
          <w:footerReference w:type="default" r:id="rId11"/>
          <w:pgSz w:w="11906" w:h="16838"/>
          <w:pgMar w:top="2325" w:right="1418" w:bottom="1418" w:left="1418" w:header="709" w:footer="709" w:gutter="0"/>
          <w:cols w:space="708"/>
          <w:docGrid w:linePitch="360"/>
        </w:sectPr>
      </w:pPr>
    </w:p>
    <w:tbl>
      <w:tblPr>
        <w:tblW w:w="1334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3105"/>
        <w:gridCol w:w="1375"/>
        <w:gridCol w:w="1372"/>
        <w:gridCol w:w="1375"/>
        <w:gridCol w:w="1030"/>
        <w:gridCol w:w="1814"/>
        <w:gridCol w:w="1559"/>
        <w:gridCol w:w="1134"/>
      </w:tblGrid>
      <w:tr w:rsidR="009479A4" w14:paraId="573D5AE3" w14:textId="77777777" w:rsidTr="00700D79">
        <w:trPr>
          <w:trHeight w:val="1287"/>
        </w:trPr>
        <w:tc>
          <w:tcPr>
            <w:tcW w:w="133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A0654E" w14:textId="098DBAAE" w:rsidR="009479A4" w:rsidRDefault="00771146" w:rsidP="0077114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202</w:t>
            </w:r>
            <w:r w:rsidR="00A13C23">
              <w:rPr>
                <w:rFonts w:ascii="Arial" w:hAnsi="Arial" w:cs="Arial"/>
                <w:b/>
                <w:bCs/>
              </w:rPr>
              <w:t>4</w:t>
            </w:r>
            <w:r>
              <w:rPr>
                <w:rFonts w:ascii="Arial" w:hAnsi="Arial" w:cs="Arial"/>
                <w:b/>
                <w:bCs/>
              </w:rPr>
              <w:t>. évben elnyert támogatások</w:t>
            </w:r>
          </w:p>
          <w:p w14:paraId="3D9D511B" w14:textId="0338F1C9" w:rsidR="00771146" w:rsidRPr="009479A4" w:rsidRDefault="00771146" w:rsidP="00771146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43195" w14:paraId="448DFF26" w14:textId="77777777" w:rsidTr="00700D79">
        <w:trPr>
          <w:trHeight w:val="92"/>
        </w:trPr>
        <w:tc>
          <w:tcPr>
            <w:tcW w:w="133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7F2E" w14:textId="77777777" w:rsidR="00043195" w:rsidRDefault="00043195" w:rsidP="0042669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A13C23" w14:paraId="22D36F71" w14:textId="77777777" w:rsidTr="00700D79">
        <w:trPr>
          <w:gridAfter w:val="1"/>
          <w:wAfter w:w="1134" w:type="dxa"/>
          <w:trHeight w:val="52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FD68F91" w14:textId="77777777" w:rsidR="00A13C23" w:rsidRDefault="00A13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Ssz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1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54E966D" w14:textId="77777777" w:rsidR="00A13C23" w:rsidRDefault="00A13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2EDAAE3" w14:textId="77777777" w:rsidR="00A13C23" w:rsidRDefault="00A13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Bér és járulék (Ft)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02C1B7C3" w14:textId="77777777" w:rsidR="00A13C23" w:rsidRDefault="00A13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Közvetlen költség (Ft)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CB35987" w14:textId="77777777" w:rsidR="00A13C23" w:rsidRDefault="00A13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Összesen (Ft)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77E77E5" w14:textId="77777777" w:rsidR="00A13C23" w:rsidRDefault="00A13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Tám-i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int. (%)</w:t>
            </w:r>
          </w:p>
        </w:tc>
        <w:tc>
          <w:tcPr>
            <w:tcW w:w="1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9CA7397" w14:textId="77777777" w:rsidR="00A13C23" w:rsidRDefault="00A13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Támogatási időszak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6C15B2B" w14:textId="77777777" w:rsidR="00A13C23" w:rsidRDefault="00A13C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Támogatottak száma</w:t>
            </w:r>
          </w:p>
        </w:tc>
      </w:tr>
      <w:tr w:rsidR="00700D79" w14:paraId="554A7F2B" w14:textId="77777777" w:rsidTr="00220719">
        <w:trPr>
          <w:gridAfter w:val="1"/>
          <w:wAfter w:w="1134" w:type="dxa"/>
          <w:trHeight w:val="52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vAlign w:val="center"/>
            <w:hideMark/>
          </w:tcPr>
          <w:p w14:paraId="24670E54" w14:textId="77777777" w:rsidR="00700D79" w:rsidRPr="00700D79" w:rsidRDefault="00700D79">
            <w:pPr>
              <w:jc w:val="center"/>
              <w:rPr>
                <w:color w:val="000000"/>
              </w:rPr>
            </w:pPr>
            <w:r w:rsidRPr="00700D79">
              <w:rPr>
                <w:color w:val="000000"/>
              </w:rPr>
              <w:t>1.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vAlign w:val="center"/>
            <w:hideMark/>
          </w:tcPr>
          <w:p w14:paraId="2D9C537F" w14:textId="77777777" w:rsidR="00700D79" w:rsidRPr="00700D79" w:rsidRDefault="00700D79">
            <w:pPr>
              <w:rPr>
                <w:color w:val="000000"/>
              </w:rPr>
            </w:pPr>
          </w:p>
          <w:p w14:paraId="2986101A" w14:textId="77777777" w:rsidR="00700D79" w:rsidRPr="00700D79" w:rsidRDefault="00700D79">
            <w:pPr>
              <w:rPr>
                <w:color w:val="000000"/>
              </w:rPr>
            </w:pPr>
            <w:r w:rsidRPr="00700D79">
              <w:rPr>
                <w:color w:val="000000"/>
              </w:rPr>
              <w:t>Hosszabb időtartamú közfoglalkoztatás 1.</w:t>
            </w:r>
          </w:p>
          <w:p w14:paraId="209D82E9" w14:textId="77777777" w:rsidR="00700D79" w:rsidRPr="00700D79" w:rsidRDefault="00700D79">
            <w:pPr>
              <w:rPr>
                <w:color w:val="00000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55B3E8AE" w14:textId="273610D9" w:rsidR="00700D79" w:rsidRPr="00700D79" w:rsidRDefault="00700D79">
            <w:pPr>
              <w:jc w:val="right"/>
              <w:rPr>
                <w:color w:val="000000"/>
              </w:rPr>
            </w:pPr>
            <w:r w:rsidRPr="00700D79">
              <w:t>59 158 362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71F2325A" w14:textId="56D310F2" w:rsidR="00700D79" w:rsidRPr="00700D79" w:rsidRDefault="00700D79">
            <w:pPr>
              <w:jc w:val="right"/>
              <w:rPr>
                <w:color w:val="000000"/>
              </w:rPr>
            </w:pPr>
            <w:r w:rsidRPr="00700D79">
              <w:t>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73828A0C" w14:textId="342D3E6B" w:rsidR="00700D79" w:rsidRPr="00700D79" w:rsidRDefault="00700D79">
            <w:pPr>
              <w:jc w:val="right"/>
              <w:rPr>
                <w:color w:val="000000"/>
              </w:rPr>
            </w:pPr>
            <w:r w:rsidRPr="00700D79">
              <w:t>59 158 362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71F6E904" w14:textId="2DFDBBA4" w:rsidR="00700D79" w:rsidRPr="00700D79" w:rsidRDefault="00700D79">
            <w:pPr>
              <w:jc w:val="right"/>
              <w:rPr>
                <w:color w:val="000000"/>
              </w:rPr>
            </w:pPr>
            <w:r w:rsidRPr="00700D79">
              <w:t>100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hideMark/>
          </w:tcPr>
          <w:p w14:paraId="6C181D5E" w14:textId="77777777" w:rsidR="00700D79" w:rsidRDefault="00700D79" w:rsidP="00A13C23">
            <w:pPr>
              <w:jc w:val="center"/>
            </w:pPr>
          </w:p>
          <w:p w14:paraId="285625A2" w14:textId="74DF6D3A" w:rsidR="00700D79" w:rsidRPr="00700D79" w:rsidRDefault="00700D79" w:rsidP="00A13C23">
            <w:pPr>
              <w:jc w:val="center"/>
              <w:rPr>
                <w:color w:val="000000"/>
              </w:rPr>
            </w:pPr>
            <w:r w:rsidRPr="00DC4DE4">
              <w:t>2024.03.01-2024.08.31.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359DCE7C" w14:textId="77777777" w:rsidR="00700D79" w:rsidRPr="00700D79" w:rsidRDefault="00700D79">
            <w:pPr>
              <w:jc w:val="center"/>
            </w:pPr>
          </w:p>
          <w:p w14:paraId="0BEE6FFA" w14:textId="237D4FBE" w:rsidR="00700D79" w:rsidRPr="00700D79" w:rsidRDefault="00700D79">
            <w:pPr>
              <w:jc w:val="center"/>
              <w:rPr>
                <w:color w:val="000000"/>
              </w:rPr>
            </w:pPr>
            <w:r w:rsidRPr="00700D79">
              <w:t>69</w:t>
            </w:r>
          </w:p>
        </w:tc>
      </w:tr>
      <w:tr w:rsidR="00700D79" w14:paraId="559D9AAB" w14:textId="77777777" w:rsidTr="00700D79">
        <w:trPr>
          <w:gridAfter w:val="1"/>
          <w:wAfter w:w="1134" w:type="dxa"/>
          <w:trHeight w:val="52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vAlign w:val="center"/>
            <w:hideMark/>
          </w:tcPr>
          <w:p w14:paraId="25FD7B0D" w14:textId="77777777" w:rsidR="00700D79" w:rsidRPr="00700D79" w:rsidRDefault="00700D79">
            <w:pPr>
              <w:jc w:val="center"/>
              <w:rPr>
                <w:color w:val="000000"/>
              </w:rPr>
            </w:pPr>
            <w:r w:rsidRPr="00700D79">
              <w:rPr>
                <w:color w:val="000000"/>
              </w:rPr>
              <w:t>2.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vAlign w:val="center"/>
            <w:hideMark/>
          </w:tcPr>
          <w:p w14:paraId="613C0587" w14:textId="77777777" w:rsidR="00700D79" w:rsidRPr="00700D79" w:rsidRDefault="00700D79">
            <w:pPr>
              <w:rPr>
                <w:color w:val="000000"/>
              </w:rPr>
            </w:pPr>
          </w:p>
          <w:p w14:paraId="15DB4878" w14:textId="77777777" w:rsidR="00700D79" w:rsidRPr="00700D79" w:rsidRDefault="00700D79">
            <w:pPr>
              <w:rPr>
                <w:color w:val="000000"/>
              </w:rPr>
            </w:pPr>
            <w:r w:rsidRPr="00700D79">
              <w:rPr>
                <w:color w:val="000000"/>
              </w:rPr>
              <w:t>Hosszabb időtartamú közfoglalkoztatás 2.</w:t>
            </w:r>
          </w:p>
          <w:p w14:paraId="086660D1" w14:textId="77777777" w:rsidR="00700D79" w:rsidRPr="00700D79" w:rsidRDefault="00700D79">
            <w:pPr>
              <w:rPr>
                <w:color w:val="00000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5A9CE327" w14:textId="5AA10C47" w:rsidR="00700D79" w:rsidRPr="00700D79" w:rsidRDefault="00700D79">
            <w:pPr>
              <w:jc w:val="right"/>
              <w:rPr>
                <w:color w:val="000000"/>
              </w:rPr>
            </w:pPr>
            <w:r w:rsidRPr="00700D79">
              <w:t>53 191 380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4FC335F8" w14:textId="7133B167" w:rsidR="00700D79" w:rsidRPr="00700D79" w:rsidRDefault="00700D79">
            <w:pPr>
              <w:jc w:val="right"/>
              <w:rPr>
                <w:color w:val="000000"/>
              </w:rPr>
            </w:pPr>
            <w:r w:rsidRPr="00700D79">
              <w:t>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0EFA4D07" w14:textId="42ACA5C2" w:rsidR="00700D79" w:rsidRPr="00700D79" w:rsidRDefault="00700D79">
            <w:pPr>
              <w:jc w:val="right"/>
              <w:rPr>
                <w:color w:val="000000"/>
              </w:rPr>
            </w:pPr>
            <w:r w:rsidRPr="00700D79">
              <w:t>53 191 380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3369C888" w14:textId="765EB241" w:rsidR="00700D79" w:rsidRPr="00700D79" w:rsidRDefault="00700D79">
            <w:pPr>
              <w:jc w:val="right"/>
              <w:rPr>
                <w:color w:val="000000"/>
              </w:rPr>
            </w:pPr>
            <w:r w:rsidRPr="00700D79">
              <w:t>100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hideMark/>
          </w:tcPr>
          <w:p w14:paraId="742B8D11" w14:textId="77777777" w:rsidR="00700D79" w:rsidRDefault="00700D79">
            <w:pPr>
              <w:jc w:val="center"/>
            </w:pPr>
          </w:p>
          <w:p w14:paraId="7C3ECBB7" w14:textId="307DFB22" w:rsidR="00700D79" w:rsidRPr="00700D79" w:rsidRDefault="00700D79">
            <w:pPr>
              <w:jc w:val="center"/>
              <w:rPr>
                <w:color w:val="000000"/>
              </w:rPr>
            </w:pPr>
            <w:r w:rsidRPr="00DC4DE4">
              <w:t>2024.09.01-2025.02.28.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0207408B" w14:textId="77777777" w:rsidR="00700D79" w:rsidRPr="00700D79" w:rsidRDefault="00700D79">
            <w:pPr>
              <w:jc w:val="center"/>
            </w:pPr>
          </w:p>
          <w:p w14:paraId="101A222C" w14:textId="67980011" w:rsidR="00700D79" w:rsidRPr="00700D79" w:rsidRDefault="00700D79">
            <w:pPr>
              <w:jc w:val="center"/>
              <w:rPr>
                <w:color w:val="000000"/>
              </w:rPr>
            </w:pPr>
            <w:r w:rsidRPr="00700D79">
              <w:t>62</w:t>
            </w:r>
          </w:p>
        </w:tc>
      </w:tr>
      <w:tr w:rsidR="00B20645" w14:paraId="65452AE8" w14:textId="77777777" w:rsidTr="00700D79">
        <w:trPr>
          <w:gridAfter w:val="1"/>
          <w:wAfter w:w="1134" w:type="dxa"/>
          <w:trHeight w:val="52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vAlign w:val="center"/>
            <w:hideMark/>
          </w:tcPr>
          <w:p w14:paraId="1A43842A" w14:textId="77777777" w:rsidR="00B20645" w:rsidRPr="00700D79" w:rsidRDefault="00B20645">
            <w:pPr>
              <w:jc w:val="center"/>
              <w:rPr>
                <w:color w:val="000000"/>
              </w:rPr>
            </w:pPr>
            <w:r w:rsidRPr="00700D79">
              <w:rPr>
                <w:color w:val="000000"/>
              </w:rPr>
              <w:t>3.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vAlign w:val="center"/>
            <w:hideMark/>
          </w:tcPr>
          <w:p w14:paraId="56ACF671" w14:textId="77777777" w:rsidR="00B20645" w:rsidRPr="00700D79" w:rsidRDefault="00B20645">
            <w:pPr>
              <w:rPr>
                <w:color w:val="000000"/>
              </w:rPr>
            </w:pPr>
          </w:p>
          <w:p w14:paraId="1877DD97" w14:textId="77777777" w:rsidR="00B20645" w:rsidRPr="00700D79" w:rsidRDefault="00B20645">
            <w:pPr>
              <w:rPr>
                <w:color w:val="000000"/>
              </w:rPr>
            </w:pPr>
            <w:r w:rsidRPr="00700D79">
              <w:rPr>
                <w:color w:val="000000"/>
              </w:rPr>
              <w:t>Helyi sajátosságokra épülő (kistérségi START mintaprojekt)</w:t>
            </w:r>
          </w:p>
          <w:p w14:paraId="2B320445" w14:textId="77777777" w:rsidR="00B20645" w:rsidRPr="00700D79" w:rsidRDefault="00B20645">
            <w:pPr>
              <w:rPr>
                <w:color w:val="00000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38DA89B5" w14:textId="1A3EFAAE" w:rsidR="00B20645" w:rsidRPr="00700D79" w:rsidRDefault="00B20645">
            <w:pPr>
              <w:jc w:val="right"/>
              <w:rPr>
                <w:color w:val="000000"/>
              </w:rPr>
            </w:pPr>
            <w:r w:rsidRPr="00700D79">
              <w:t>100 923 156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32E1B8E6" w14:textId="52C5E042" w:rsidR="00B20645" w:rsidRPr="00700D79" w:rsidRDefault="00B20645">
            <w:pPr>
              <w:jc w:val="right"/>
              <w:rPr>
                <w:color w:val="000000"/>
              </w:rPr>
            </w:pPr>
            <w:r w:rsidRPr="00F569DB">
              <w:t>13 534 691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187F28B9" w14:textId="01B5E2E0" w:rsidR="00B20645" w:rsidRPr="00700D79" w:rsidRDefault="00B20645">
            <w:pPr>
              <w:jc w:val="right"/>
              <w:rPr>
                <w:color w:val="000000"/>
              </w:rPr>
            </w:pPr>
            <w:r w:rsidRPr="00700D79">
              <w:t>114 457 847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6149FA87" w14:textId="03A463B2" w:rsidR="00B20645" w:rsidRPr="00700D79" w:rsidRDefault="00B20645" w:rsidP="007F7A3C">
            <w:pPr>
              <w:jc w:val="right"/>
              <w:rPr>
                <w:color w:val="000000"/>
              </w:rPr>
            </w:pPr>
            <w:r w:rsidRPr="00700D79">
              <w:t>100/ 90,5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hideMark/>
          </w:tcPr>
          <w:p w14:paraId="6074DE5A" w14:textId="77777777" w:rsidR="00B20645" w:rsidRPr="00700D79" w:rsidRDefault="00B20645">
            <w:pPr>
              <w:jc w:val="center"/>
              <w:rPr>
                <w:color w:val="000000"/>
              </w:rPr>
            </w:pPr>
          </w:p>
          <w:p w14:paraId="6E1CE528" w14:textId="4842B759" w:rsidR="00B20645" w:rsidRPr="00700D79" w:rsidRDefault="00B20645">
            <w:pPr>
              <w:jc w:val="center"/>
              <w:rPr>
                <w:color w:val="000000"/>
              </w:rPr>
            </w:pPr>
            <w:r w:rsidRPr="00700D79">
              <w:rPr>
                <w:color w:val="000000"/>
              </w:rPr>
              <w:t>2024.03.01-2025.02.28.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6B43D1A3" w14:textId="77777777" w:rsidR="00B20645" w:rsidRPr="00700D79" w:rsidRDefault="00B20645">
            <w:pPr>
              <w:jc w:val="center"/>
            </w:pPr>
          </w:p>
          <w:p w14:paraId="659020BF" w14:textId="497D1DF7" w:rsidR="00B20645" w:rsidRPr="00700D79" w:rsidRDefault="00B20645">
            <w:pPr>
              <w:jc w:val="center"/>
              <w:rPr>
                <w:color w:val="000000"/>
              </w:rPr>
            </w:pPr>
            <w:r w:rsidRPr="00700D79">
              <w:t>57</w:t>
            </w:r>
          </w:p>
        </w:tc>
      </w:tr>
      <w:tr w:rsidR="00B20645" w14:paraId="0FBDDFF5" w14:textId="77777777" w:rsidTr="00700D79">
        <w:trPr>
          <w:gridAfter w:val="1"/>
          <w:wAfter w:w="1134" w:type="dxa"/>
          <w:trHeight w:val="52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vAlign w:val="center"/>
            <w:hideMark/>
          </w:tcPr>
          <w:p w14:paraId="298BF939" w14:textId="77777777" w:rsidR="00B20645" w:rsidRPr="00700D79" w:rsidRDefault="00B20645">
            <w:pPr>
              <w:jc w:val="center"/>
              <w:rPr>
                <w:color w:val="000000"/>
              </w:rPr>
            </w:pPr>
            <w:r w:rsidRPr="00700D79">
              <w:rPr>
                <w:color w:val="000000"/>
              </w:rPr>
              <w:t>4.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vAlign w:val="center"/>
            <w:hideMark/>
          </w:tcPr>
          <w:p w14:paraId="44772431" w14:textId="77777777" w:rsidR="00B20645" w:rsidRPr="00700D79" w:rsidRDefault="00B20645">
            <w:pPr>
              <w:rPr>
                <w:color w:val="000000"/>
              </w:rPr>
            </w:pPr>
          </w:p>
          <w:p w14:paraId="497CB3F6" w14:textId="77777777" w:rsidR="00B20645" w:rsidRPr="00700D79" w:rsidRDefault="00B20645">
            <w:pPr>
              <w:rPr>
                <w:color w:val="000000"/>
              </w:rPr>
            </w:pPr>
            <w:r w:rsidRPr="00700D79">
              <w:rPr>
                <w:color w:val="000000"/>
              </w:rPr>
              <w:t>Szociális jellegű (kistérségi START mintaprojekt)</w:t>
            </w:r>
          </w:p>
          <w:p w14:paraId="79E4CB9B" w14:textId="77777777" w:rsidR="00B20645" w:rsidRPr="00700D79" w:rsidRDefault="00B20645">
            <w:pPr>
              <w:rPr>
                <w:color w:val="00000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5963F996" w14:textId="18774EF5" w:rsidR="00B20645" w:rsidRPr="00700D79" w:rsidRDefault="00B20645">
            <w:pPr>
              <w:jc w:val="right"/>
              <w:rPr>
                <w:color w:val="000000"/>
              </w:rPr>
            </w:pPr>
            <w:r w:rsidRPr="00700D79">
              <w:t>196 644 060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6B6AC821" w14:textId="08A9708A" w:rsidR="00B20645" w:rsidRPr="00700D79" w:rsidRDefault="00B20645">
            <w:pPr>
              <w:jc w:val="right"/>
              <w:rPr>
                <w:color w:val="000000"/>
              </w:rPr>
            </w:pPr>
            <w:r w:rsidRPr="00F569DB">
              <w:t>19 142 726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7A8C959E" w14:textId="06594AAC" w:rsidR="00B20645" w:rsidRPr="00700D79" w:rsidRDefault="00B20645">
            <w:pPr>
              <w:jc w:val="right"/>
              <w:rPr>
                <w:color w:val="000000"/>
              </w:rPr>
            </w:pPr>
            <w:r w:rsidRPr="00700D79">
              <w:t xml:space="preserve">215 786 </w:t>
            </w:r>
            <w:proofErr w:type="spellStart"/>
            <w:r w:rsidRPr="00700D79">
              <w:t>786</w:t>
            </w:r>
            <w:proofErr w:type="spellEnd"/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7E54C35C" w14:textId="1FABA443" w:rsidR="00B20645" w:rsidRPr="00700D79" w:rsidRDefault="00B20645" w:rsidP="007F7A3C">
            <w:pPr>
              <w:jc w:val="right"/>
              <w:rPr>
                <w:color w:val="000000"/>
              </w:rPr>
            </w:pPr>
            <w:r w:rsidRPr="00700D79">
              <w:t>100/ 85,3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hideMark/>
          </w:tcPr>
          <w:p w14:paraId="3794BF1F" w14:textId="77777777" w:rsidR="00B20645" w:rsidRPr="00700D79" w:rsidRDefault="00B20645">
            <w:pPr>
              <w:jc w:val="center"/>
              <w:rPr>
                <w:color w:val="000000"/>
              </w:rPr>
            </w:pPr>
          </w:p>
          <w:p w14:paraId="14D78F18" w14:textId="5F6F8EEB" w:rsidR="00B20645" w:rsidRPr="00700D79" w:rsidRDefault="00B20645">
            <w:pPr>
              <w:jc w:val="center"/>
              <w:rPr>
                <w:color w:val="000000"/>
              </w:rPr>
            </w:pPr>
            <w:r w:rsidRPr="00700D79">
              <w:rPr>
                <w:color w:val="000000"/>
              </w:rPr>
              <w:t>2024.03.01-2025.02.28.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23CE3C73" w14:textId="77777777" w:rsidR="00B20645" w:rsidRPr="00700D79" w:rsidRDefault="00B20645">
            <w:pPr>
              <w:jc w:val="center"/>
            </w:pPr>
          </w:p>
          <w:p w14:paraId="2C994A23" w14:textId="1A2B2443" w:rsidR="00B20645" w:rsidRPr="00700D79" w:rsidRDefault="00B20645">
            <w:pPr>
              <w:jc w:val="center"/>
              <w:rPr>
                <w:color w:val="000000"/>
              </w:rPr>
            </w:pPr>
            <w:r w:rsidRPr="00700D79">
              <w:t>114</w:t>
            </w:r>
          </w:p>
        </w:tc>
      </w:tr>
      <w:tr w:rsidR="00B20645" w14:paraId="7E5EF547" w14:textId="77777777" w:rsidTr="00700D79">
        <w:trPr>
          <w:gridAfter w:val="1"/>
          <w:wAfter w:w="1134" w:type="dxa"/>
          <w:trHeight w:val="52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vAlign w:val="center"/>
            <w:hideMark/>
          </w:tcPr>
          <w:p w14:paraId="0245792C" w14:textId="77777777" w:rsidR="00B20645" w:rsidRPr="00700D79" w:rsidRDefault="00B20645">
            <w:pPr>
              <w:jc w:val="center"/>
              <w:rPr>
                <w:color w:val="000000"/>
              </w:rPr>
            </w:pPr>
            <w:r w:rsidRPr="00700D79">
              <w:rPr>
                <w:color w:val="000000"/>
              </w:rPr>
              <w:t>5.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vAlign w:val="center"/>
            <w:hideMark/>
          </w:tcPr>
          <w:p w14:paraId="29B44F28" w14:textId="77777777" w:rsidR="00B20645" w:rsidRPr="00700D79" w:rsidRDefault="00B20645">
            <w:pPr>
              <w:rPr>
                <w:color w:val="000000"/>
              </w:rPr>
            </w:pPr>
          </w:p>
          <w:p w14:paraId="5010B07E" w14:textId="77777777" w:rsidR="00B20645" w:rsidRPr="00700D79" w:rsidRDefault="00B20645">
            <w:pPr>
              <w:rPr>
                <w:color w:val="000000"/>
              </w:rPr>
            </w:pPr>
            <w:r w:rsidRPr="00700D79">
              <w:rPr>
                <w:color w:val="000000"/>
              </w:rPr>
              <w:t>Mezőgazdasági (kistérségi START mintaprojekt)</w:t>
            </w:r>
          </w:p>
          <w:p w14:paraId="3E46452E" w14:textId="77777777" w:rsidR="00B20645" w:rsidRPr="00700D79" w:rsidRDefault="00B20645">
            <w:pPr>
              <w:rPr>
                <w:color w:val="00000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28D8D865" w14:textId="491E7DB9" w:rsidR="00B20645" w:rsidRPr="00700D79" w:rsidRDefault="00B20645">
            <w:pPr>
              <w:jc w:val="right"/>
              <w:rPr>
                <w:color w:val="000000"/>
              </w:rPr>
            </w:pPr>
            <w:r w:rsidRPr="00700D79">
              <w:t>34 608 492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21F26DA4" w14:textId="5D8914AE" w:rsidR="00B20645" w:rsidRPr="00700D79" w:rsidRDefault="00B20645">
            <w:pPr>
              <w:jc w:val="right"/>
              <w:rPr>
                <w:color w:val="000000"/>
              </w:rPr>
            </w:pPr>
            <w:r w:rsidRPr="00F569DB">
              <w:t>8 812 468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6C64E2F9" w14:textId="6FB9B7AB" w:rsidR="00B20645" w:rsidRPr="00700D79" w:rsidRDefault="00B20645">
            <w:pPr>
              <w:jc w:val="right"/>
              <w:rPr>
                <w:color w:val="000000"/>
              </w:rPr>
            </w:pPr>
            <w:r w:rsidRPr="00700D79">
              <w:t>43 420 960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756465B6" w14:textId="17C58942" w:rsidR="00B20645" w:rsidRPr="00700D79" w:rsidRDefault="00B20645" w:rsidP="007F7A3C">
            <w:pPr>
              <w:jc w:val="right"/>
              <w:rPr>
                <w:color w:val="000000"/>
              </w:rPr>
            </w:pPr>
            <w:r w:rsidRPr="00700D79">
              <w:t>100/ 97,5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hideMark/>
          </w:tcPr>
          <w:p w14:paraId="72C62C0C" w14:textId="77777777" w:rsidR="00B20645" w:rsidRPr="00700D79" w:rsidRDefault="00B20645">
            <w:pPr>
              <w:jc w:val="center"/>
              <w:rPr>
                <w:color w:val="000000"/>
              </w:rPr>
            </w:pPr>
          </w:p>
          <w:p w14:paraId="279EEFAE" w14:textId="5E014BCF" w:rsidR="00B20645" w:rsidRPr="00700D79" w:rsidRDefault="00B20645">
            <w:pPr>
              <w:jc w:val="center"/>
              <w:rPr>
                <w:color w:val="000000"/>
              </w:rPr>
            </w:pPr>
            <w:r w:rsidRPr="00700D79">
              <w:rPr>
                <w:color w:val="000000"/>
              </w:rPr>
              <w:t>2024.03.01-2025.02.28.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39F1D747" w14:textId="77777777" w:rsidR="00B20645" w:rsidRPr="00700D79" w:rsidRDefault="00B20645">
            <w:pPr>
              <w:jc w:val="center"/>
            </w:pPr>
          </w:p>
          <w:p w14:paraId="175DA3BB" w14:textId="15FB3910" w:rsidR="00B20645" w:rsidRPr="00700D79" w:rsidRDefault="00B20645">
            <w:pPr>
              <w:jc w:val="center"/>
              <w:rPr>
                <w:color w:val="000000"/>
              </w:rPr>
            </w:pPr>
            <w:r w:rsidRPr="00700D79">
              <w:t>20</w:t>
            </w:r>
          </w:p>
        </w:tc>
      </w:tr>
      <w:tr w:rsidR="00B20645" w14:paraId="2B59A7C6" w14:textId="77777777" w:rsidTr="00700D79">
        <w:trPr>
          <w:gridAfter w:val="1"/>
          <w:wAfter w:w="1134" w:type="dxa"/>
          <w:trHeight w:val="315"/>
        </w:trPr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vAlign w:val="center"/>
            <w:hideMark/>
          </w:tcPr>
          <w:p w14:paraId="1BF4956A" w14:textId="77777777" w:rsidR="00B20645" w:rsidRPr="00700D79" w:rsidRDefault="00B20645">
            <w:pPr>
              <w:jc w:val="center"/>
              <w:rPr>
                <w:color w:val="000000"/>
              </w:rPr>
            </w:pPr>
            <w:r w:rsidRPr="00700D79">
              <w:rPr>
                <w:color w:val="000000"/>
              </w:rPr>
              <w:t> 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vAlign w:val="center"/>
            <w:hideMark/>
          </w:tcPr>
          <w:p w14:paraId="2B4FC098" w14:textId="77777777" w:rsidR="00B20645" w:rsidRPr="00700D79" w:rsidRDefault="00B20645">
            <w:pPr>
              <w:jc w:val="center"/>
              <w:rPr>
                <w:b/>
                <w:bCs/>
                <w:color w:val="000000"/>
              </w:rPr>
            </w:pPr>
            <w:r w:rsidRPr="00700D79">
              <w:rPr>
                <w:b/>
                <w:bCs/>
                <w:color w:val="000000"/>
              </w:rPr>
              <w:t>Összesen:</w:t>
            </w:r>
          </w:p>
          <w:p w14:paraId="1114B749" w14:textId="77777777" w:rsidR="00B20645" w:rsidRPr="00700D79" w:rsidRDefault="00B2064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62C832B3" w14:textId="0D550460" w:rsidR="00B20645" w:rsidRPr="009454A0" w:rsidRDefault="00B20645">
            <w:pPr>
              <w:jc w:val="right"/>
              <w:rPr>
                <w:b/>
                <w:bCs/>
                <w:color w:val="000000"/>
              </w:rPr>
            </w:pPr>
            <w:r w:rsidRPr="009454A0">
              <w:rPr>
                <w:b/>
              </w:rPr>
              <w:t>444 525 450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354DEC4C" w14:textId="53DEC231" w:rsidR="00B20645" w:rsidRPr="009454A0" w:rsidRDefault="00B20645">
            <w:pPr>
              <w:jc w:val="right"/>
              <w:rPr>
                <w:b/>
                <w:bCs/>
                <w:color w:val="000000"/>
              </w:rPr>
            </w:pPr>
            <w:r w:rsidRPr="009454A0">
              <w:rPr>
                <w:b/>
              </w:rPr>
              <w:t>41 489 885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096EEF56" w14:textId="41BD0773" w:rsidR="00B20645" w:rsidRPr="009454A0" w:rsidRDefault="00B20645">
            <w:pPr>
              <w:jc w:val="right"/>
              <w:rPr>
                <w:b/>
                <w:bCs/>
                <w:color w:val="000000"/>
              </w:rPr>
            </w:pPr>
            <w:r w:rsidRPr="009454A0">
              <w:rPr>
                <w:b/>
              </w:rPr>
              <w:t>486 015 335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vAlign w:val="center"/>
            <w:hideMark/>
          </w:tcPr>
          <w:p w14:paraId="7FE073E8" w14:textId="77777777" w:rsidR="00B20645" w:rsidRPr="009454A0" w:rsidRDefault="00B20645">
            <w:pPr>
              <w:rPr>
                <w:b/>
                <w:color w:val="000000"/>
              </w:rPr>
            </w:pPr>
            <w:r w:rsidRPr="009454A0">
              <w:rPr>
                <w:b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vAlign w:val="center"/>
            <w:hideMark/>
          </w:tcPr>
          <w:p w14:paraId="60CB77ED" w14:textId="77777777" w:rsidR="00B20645" w:rsidRPr="009454A0" w:rsidRDefault="00B20645">
            <w:pPr>
              <w:rPr>
                <w:b/>
                <w:color w:val="000000"/>
              </w:rPr>
            </w:pPr>
            <w:r w:rsidRPr="009454A0">
              <w:rPr>
                <w:b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CFDD3"/>
            <w:noWrap/>
            <w:hideMark/>
          </w:tcPr>
          <w:p w14:paraId="78C4A778" w14:textId="7222A195" w:rsidR="00B20645" w:rsidRPr="009454A0" w:rsidRDefault="00B20645">
            <w:pPr>
              <w:jc w:val="center"/>
              <w:rPr>
                <w:b/>
                <w:bCs/>
                <w:color w:val="000000"/>
              </w:rPr>
            </w:pPr>
            <w:r w:rsidRPr="009454A0">
              <w:rPr>
                <w:b/>
              </w:rPr>
              <w:t>322</w:t>
            </w:r>
          </w:p>
        </w:tc>
      </w:tr>
    </w:tbl>
    <w:p w14:paraId="1D3F4BCD" w14:textId="77777777" w:rsidR="00A13C23" w:rsidRDefault="00A13C23" w:rsidP="00464057">
      <w:pPr>
        <w:spacing w:line="360" w:lineRule="auto"/>
        <w:jc w:val="both"/>
        <w:sectPr w:rsidR="00A13C23" w:rsidSect="007F4D03">
          <w:pgSz w:w="16838" w:h="11906" w:orient="landscape"/>
          <w:pgMar w:top="1418" w:right="2325" w:bottom="1418" w:left="1418" w:header="709" w:footer="709" w:gutter="0"/>
          <w:cols w:space="708"/>
          <w:docGrid w:linePitch="360"/>
        </w:sectPr>
      </w:pPr>
    </w:p>
    <w:p w14:paraId="762076C2" w14:textId="77777777" w:rsidR="00C80C75" w:rsidRPr="00445BE0" w:rsidRDefault="00445BE0" w:rsidP="00445BE0">
      <w:pPr>
        <w:pStyle w:val="Cmsor2"/>
        <w:numPr>
          <w:ilvl w:val="0"/>
          <w:numId w:val="0"/>
        </w:numPr>
        <w:rPr>
          <w:i w:val="0"/>
        </w:rPr>
      </w:pPr>
      <w:r w:rsidRPr="00445BE0">
        <w:rPr>
          <w:i w:val="0"/>
        </w:rPr>
        <w:lastRenderedPageBreak/>
        <w:t xml:space="preserve">2.1 </w:t>
      </w:r>
      <w:r w:rsidR="00C80C75" w:rsidRPr="00445BE0">
        <w:rPr>
          <w:i w:val="0"/>
        </w:rPr>
        <w:t>Közfoglalkoztatás részletes</w:t>
      </w:r>
      <w:r w:rsidR="00C20B82" w:rsidRPr="00445BE0">
        <w:rPr>
          <w:i w:val="0"/>
        </w:rPr>
        <w:t xml:space="preserve"> bemutatása adattáblák, diagram</w:t>
      </w:r>
      <w:r w:rsidR="00C80C75" w:rsidRPr="00445BE0">
        <w:rPr>
          <w:i w:val="0"/>
        </w:rPr>
        <w:t>ok segítségével</w:t>
      </w:r>
    </w:p>
    <w:p w14:paraId="5678F699" w14:textId="77777777" w:rsidR="00C80C75" w:rsidRDefault="00C80C75" w:rsidP="00C80C75">
      <w:pPr>
        <w:spacing w:line="360" w:lineRule="auto"/>
        <w:jc w:val="both"/>
      </w:pPr>
    </w:p>
    <w:p w14:paraId="79992AD0" w14:textId="45300F4C" w:rsidR="00C80C75" w:rsidRDefault="00C80C75" w:rsidP="00C80C75">
      <w:pPr>
        <w:spacing w:line="360" w:lineRule="auto"/>
        <w:jc w:val="both"/>
      </w:pPr>
      <w:r>
        <w:t>A következő oldalakon a 20</w:t>
      </w:r>
      <w:r w:rsidR="006F42D8">
        <w:t>2</w:t>
      </w:r>
      <w:r w:rsidR="00454260">
        <w:t>4</w:t>
      </w:r>
      <w:r>
        <w:t>. évi közfoglalkoztatással kapcsolatos összefoglaló táblázatok, diagramok kerülnek bemutatásra.</w:t>
      </w:r>
    </w:p>
    <w:p w14:paraId="040C6899" w14:textId="77777777" w:rsidR="001F3CC8" w:rsidRDefault="001F3CC8" w:rsidP="00C80C75">
      <w:pPr>
        <w:spacing w:line="360" w:lineRule="auto"/>
        <w:jc w:val="both"/>
      </w:pPr>
    </w:p>
    <w:p w14:paraId="6B1572F2" w14:textId="77777777" w:rsidR="00C80C75" w:rsidRDefault="00C80C75" w:rsidP="00445BE0">
      <w:pPr>
        <w:pStyle w:val="Cmsor3"/>
      </w:pPr>
      <w:r w:rsidRPr="00C80C75">
        <w:t>Közfoglalkoztatottak iskolai végzettség szerinti összetétele</w:t>
      </w:r>
    </w:p>
    <w:p w14:paraId="2412C3F2" w14:textId="77777777" w:rsidR="00F604B7" w:rsidRPr="00F604B7" w:rsidRDefault="00F604B7" w:rsidP="00F604B7"/>
    <w:p w14:paraId="30E7A50D" w14:textId="6C71A76E" w:rsidR="001F3CC8" w:rsidRDefault="009454A0" w:rsidP="00C80C75">
      <w:pPr>
        <w:spacing w:line="360" w:lineRule="auto"/>
        <w:jc w:val="both"/>
        <w:rPr>
          <w:b/>
        </w:rPr>
      </w:pPr>
      <w:r>
        <w:rPr>
          <w:noProof/>
        </w:rPr>
        <w:drawing>
          <wp:inline distT="0" distB="0" distL="0" distR="0" wp14:anchorId="5F312A4F" wp14:editId="2D18089F">
            <wp:extent cx="5762625" cy="2733675"/>
            <wp:effectExtent l="38100" t="95250" r="85725" b="28575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1B3B65E" w14:textId="015C88E9" w:rsidR="001F3CC8" w:rsidRDefault="0045282F" w:rsidP="00C80C75">
      <w:pPr>
        <w:spacing w:line="360" w:lineRule="auto"/>
        <w:jc w:val="both"/>
        <w:rPr>
          <w:b/>
        </w:rPr>
      </w:pPr>
      <w:r>
        <w:rPr>
          <w:noProof/>
        </w:rPr>
        <w:t xml:space="preserve"> </w:t>
      </w:r>
    </w:p>
    <w:p w14:paraId="26681B67" w14:textId="749F782A" w:rsidR="00C80C75" w:rsidRPr="00C80C75" w:rsidRDefault="00600EA4" w:rsidP="00C80C75">
      <w:pPr>
        <w:rPr>
          <w:b/>
          <w:sz w:val="28"/>
          <w:szCs w:val="28"/>
        </w:rPr>
      </w:pPr>
      <w:r>
        <w:rPr>
          <w:b/>
        </w:rPr>
        <w:t>2</w:t>
      </w:r>
      <w:r w:rsidR="00C80C75" w:rsidRPr="00C80C75">
        <w:rPr>
          <w:b/>
        </w:rPr>
        <w:t>.1.</w:t>
      </w:r>
      <w:r w:rsidR="000536F0">
        <w:rPr>
          <w:b/>
        </w:rPr>
        <w:t>2</w:t>
      </w:r>
      <w:r w:rsidR="00C80C75" w:rsidRPr="00C80C75">
        <w:rPr>
          <w:b/>
          <w:sz w:val="28"/>
          <w:szCs w:val="28"/>
        </w:rPr>
        <w:t xml:space="preserve"> Közfoglalkoztatottak nem </w:t>
      </w:r>
      <w:r w:rsidR="00F604B7">
        <w:rPr>
          <w:b/>
          <w:sz w:val="28"/>
          <w:szCs w:val="28"/>
        </w:rPr>
        <w:t xml:space="preserve">és életkor </w:t>
      </w:r>
      <w:r w:rsidR="00C80C75" w:rsidRPr="00C80C75">
        <w:rPr>
          <w:b/>
          <w:sz w:val="28"/>
          <w:szCs w:val="28"/>
        </w:rPr>
        <w:t>szerinti összetétele</w:t>
      </w:r>
    </w:p>
    <w:p w14:paraId="4BDA5BF2" w14:textId="5F39660B" w:rsidR="00644F25" w:rsidRDefault="009454A0" w:rsidP="00860348">
      <w:pPr>
        <w:spacing w:line="360" w:lineRule="auto"/>
        <w:jc w:val="both"/>
      </w:pPr>
      <w:r>
        <w:rPr>
          <w:noProof/>
        </w:rPr>
        <w:drawing>
          <wp:inline distT="0" distB="0" distL="0" distR="0" wp14:anchorId="380C9ACC" wp14:editId="75C9D308">
            <wp:extent cx="5581650" cy="2847975"/>
            <wp:effectExtent l="0" t="0" r="19050" b="9525"/>
            <wp:docPr id="3" name="Diagra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13063DD8" w14:textId="77777777" w:rsidR="00C80C75" w:rsidRDefault="00C80C75" w:rsidP="00860348">
      <w:pPr>
        <w:spacing w:line="360" w:lineRule="auto"/>
        <w:jc w:val="both"/>
      </w:pPr>
    </w:p>
    <w:p w14:paraId="717F334D" w14:textId="7FFCCE55" w:rsidR="00C80C75" w:rsidRDefault="00C80C75" w:rsidP="0045282F">
      <w:pPr>
        <w:pStyle w:val="Cmsor3"/>
      </w:pPr>
      <w:r w:rsidRPr="00C80C75">
        <w:t xml:space="preserve">Munkaviszony megszűnésének </w:t>
      </w:r>
      <w:r w:rsidR="006F42D8">
        <w:t>20</w:t>
      </w:r>
      <w:r w:rsidR="009454A0">
        <w:t>20</w:t>
      </w:r>
      <w:r w:rsidR="006F42D8">
        <w:t>-202</w:t>
      </w:r>
      <w:r w:rsidR="009454A0">
        <w:t>4</w:t>
      </w:r>
    </w:p>
    <w:p w14:paraId="37DFF4C7" w14:textId="77777777" w:rsidR="0045282F" w:rsidRDefault="0045282F" w:rsidP="00C80C75">
      <w:pPr>
        <w:rPr>
          <w:b/>
          <w:sz w:val="28"/>
          <w:szCs w:val="28"/>
        </w:rPr>
      </w:pPr>
    </w:p>
    <w:p w14:paraId="25BE4E09" w14:textId="48605338" w:rsidR="00C80C75" w:rsidRPr="00C80C75" w:rsidRDefault="009454A0" w:rsidP="00C80C75">
      <w:pPr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326569AE" wp14:editId="05FAEB9B">
            <wp:extent cx="5762625" cy="3771900"/>
            <wp:effectExtent l="38100" t="95250" r="85725" b="38100"/>
            <wp:docPr id="4" name="Diagram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0C47DA6" w14:textId="77777777" w:rsidR="00C80C75" w:rsidRDefault="00C80C75" w:rsidP="00860348">
      <w:pPr>
        <w:spacing w:line="360" w:lineRule="auto"/>
        <w:jc w:val="both"/>
      </w:pPr>
    </w:p>
    <w:p w14:paraId="0E99DA21" w14:textId="0E7EFE34" w:rsidR="00AA0010" w:rsidRDefault="00E74D91" w:rsidP="00E74D91">
      <w:pPr>
        <w:pStyle w:val="Cmsor3"/>
      </w:pPr>
      <w:r>
        <w:t>Támogatás összege 20</w:t>
      </w:r>
      <w:r w:rsidR="009454A0">
        <w:t>20</w:t>
      </w:r>
      <w:r>
        <w:t>-202</w:t>
      </w:r>
      <w:r w:rsidR="009454A0">
        <w:t>4</w:t>
      </w:r>
    </w:p>
    <w:p w14:paraId="33AE136B" w14:textId="77777777" w:rsidR="00E74D91" w:rsidRDefault="00E74D91" w:rsidP="002D6AC7"/>
    <w:p w14:paraId="3F51CB1A" w14:textId="2EF95E30" w:rsidR="00D03B94" w:rsidRDefault="009454A0" w:rsidP="00860348">
      <w:pPr>
        <w:spacing w:line="360" w:lineRule="auto"/>
        <w:jc w:val="both"/>
      </w:pPr>
      <w:r>
        <w:rPr>
          <w:noProof/>
        </w:rPr>
        <w:drawing>
          <wp:inline distT="0" distB="0" distL="0" distR="0" wp14:anchorId="2F9F2105" wp14:editId="47B6DD1F">
            <wp:extent cx="5029200" cy="2762250"/>
            <wp:effectExtent l="38100" t="95250" r="95250" b="38100"/>
            <wp:docPr id="6" name="Diagram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3FE9773E" w14:textId="281C1E2F" w:rsidR="00C80C75" w:rsidRDefault="00C74E96" w:rsidP="00C80C75">
      <w:pPr>
        <w:rPr>
          <w:b/>
          <w:sz w:val="28"/>
          <w:szCs w:val="28"/>
        </w:rPr>
      </w:pPr>
      <w:r>
        <w:rPr>
          <w:b/>
        </w:rPr>
        <w:lastRenderedPageBreak/>
        <w:t>2</w:t>
      </w:r>
      <w:r w:rsidR="00C80C75" w:rsidRPr="00C80C75">
        <w:rPr>
          <w:b/>
        </w:rPr>
        <w:t>.1.</w:t>
      </w:r>
      <w:r w:rsidR="000536F0">
        <w:rPr>
          <w:b/>
        </w:rPr>
        <w:t>5</w:t>
      </w:r>
      <w:r w:rsidR="00C80C75" w:rsidRPr="00C80C75">
        <w:rPr>
          <w:b/>
        </w:rPr>
        <w:t xml:space="preserve"> </w:t>
      </w:r>
      <w:r w:rsidR="00045521">
        <w:rPr>
          <w:b/>
          <w:sz w:val="28"/>
          <w:szCs w:val="28"/>
        </w:rPr>
        <w:t xml:space="preserve">Figyelmeztetések száma </w:t>
      </w:r>
      <w:r w:rsidR="00583E8E">
        <w:rPr>
          <w:b/>
          <w:sz w:val="28"/>
          <w:szCs w:val="28"/>
        </w:rPr>
        <w:t>20</w:t>
      </w:r>
      <w:r w:rsidR="009454A0">
        <w:rPr>
          <w:b/>
          <w:sz w:val="28"/>
          <w:szCs w:val="28"/>
        </w:rPr>
        <w:t>20</w:t>
      </w:r>
      <w:r w:rsidR="00583E8E">
        <w:rPr>
          <w:b/>
          <w:sz w:val="28"/>
          <w:szCs w:val="28"/>
        </w:rPr>
        <w:t>-202</w:t>
      </w:r>
      <w:r w:rsidR="009454A0">
        <w:rPr>
          <w:b/>
          <w:sz w:val="28"/>
          <w:szCs w:val="28"/>
        </w:rPr>
        <w:t>4</w:t>
      </w:r>
    </w:p>
    <w:p w14:paraId="7A905458" w14:textId="1988203E" w:rsidR="00C74E96" w:rsidRPr="00C80C75" w:rsidRDefault="009454A0" w:rsidP="00C80C75">
      <w:pPr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16499A8E" wp14:editId="0B11DC48">
            <wp:extent cx="5759450" cy="2670925"/>
            <wp:effectExtent l="38100" t="95250" r="88900" b="34290"/>
            <wp:docPr id="13" name="Diagram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0E00B779" w14:textId="77777777" w:rsidR="00C80C75" w:rsidRPr="00C80C75" w:rsidRDefault="00C80C75" w:rsidP="00C80C75">
      <w:pPr>
        <w:spacing w:line="360" w:lineRule="auto"/>
        <w:rPr>
          <w:b/>
        </w:rPr>
      </w:pPr>
    </w:p>
    <w:p w14:paraId="4C8B480A" w14:textId="77777777" w:rsidR="00B67B79" w:rsidRDefault="00B67B79" w:rsidP="00860348">
      <w:pPr>
        <w:spacing w:line="360" w:lineRule="auto"/>
        <w:jc w:val="both"/>
        <w:rPr>
          <w:b/>
        </w:rPr>
      </w:pPr>
    </w:p>
    <w:p w14:paraId="1657927C" w14:textId="288D5028" w:rsidR="00ED19D4" w:rsidRPr="00ED19D4" w:rsidRDefault="00C74E96" w:rsidP="00860348">
      <w:pPr>
        <w:spacing w:line="360" w:lineRule="auto"/>
        <w:jc w:val="both"/>
        <w:rPr>
          <w:b/>
        </w:rPr>
      </w:pPr>
      <w:r>
        <w:rPr>
          <w:b/>
        </w:rPr>
        <w:t>2</w:t>
      </w:r>
      <w:r w:rsidR="000536F0">
        <w:rPr>
          <w:b/>
        </w:rPr>
        <w:t>.1.6</w:t>
      </w:r>
      <w:r w:rsidR="0015338B">
        <w:rPr>
          <w:b/>
        </w:rPr>
        <w:t xml:space="preserve"> Távol levő </w:t>
      </w:r>
      <w:r w:rsidR="00ED19D4">
        <w:rPr>
          <w:b/>
        </w:rPr>
        <w:t>mun</w:t>
      </w:r>
      <w:r w:rsidR="00383149">
        <w:rPr>
          <w:b/>
        </w:rPr>
        <w:t>kavállalók számának alakulása</w:t>
      </w:r>
      <w:r w:rsidR="00DE56F4">
        <w:rPr>
          <w:b/>
        </w:rPr>
        <w:t xml:space="preserve"> 20</w:t>
      </w:r>
      <w:r w:rsidR="009454A0">
        <w:rPr>
          <w:b/>
        </w:rPr>
        <w:t>20</w:t>
      </w:r>
      <w:r w:rsidR="00DE56F4">
        <w:rPr>
          <w:b/>
        </w:rPr>
        <w:t>-202</w:t>
      </w:r>
      <w:r w:rsidR="009454A0">
        <w:rPr>
          <w:b/>
        </w:rPr>
        <w:t>4</w:t>
      </w:r>
    </w:p>
    <w:p w14:paraId="389B5346" w14:textId="3B5614AE" w:rsidR="00C80C75" w:rsidRDefault="009454A0" w:rsidP="00860348">
      <w:pPr>
        <w:spacing w:line="360" w:lineRule="auto"/>
        <w:jc w:val="both"/>
      </w:pPr>
      <w:r>
        <w:rPr>
          <w:noProof/>
        </w:rPr>
        <w:drawing>
          <wp:inline distT="0" distB="0" distL="0" distR="0" wp14:anchorId="70641E17" wp14:editId="32B393D6">
            <wp:extent cx="5759450" cy="3036478"/>
            <wp:effectExtent l="38100" t="95250" r="88900" b="31115"/>
            <wp:docPr id="14" name="Diagram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39D66F0F" w14:textId="77777777" w:rsidR="000536F0" w:rsidRDefault="000536F0" w:rsidP="00860348">
      <w:pPr>
        <w:spacing w:line="360" w:lineRule="auto"/>
        <w:jc w:val="both"/>
      </w:pPr>
    </w:p>
    <w:p w14:paraId="726F68FD" w14:textId="77777777" w:rsidR="00D03B94" w:rsidRDefault="00D03B94" w:rsidP="00860348">
      <w:pPr>
        <w:spacing w:line="360" w:lineRule="auto"/>
        <w:jc w:val="both"/>
      </w:pPr>
    </w:p>
    <w:p w14:paraId="473C625D" w14:textId="77777777" w:rsidR="009454A0" w:rsidRDefault="009454A0" w:rsidP="00860348">
      <w:pPr>
        <w:spacing w:line="360" w:lineRule="auto"/>
        <w:jc w:val="both"/>
      </w:pPr>
    </w:p>
    <w:p w14:paraId="72966A11" w14:textId="77777777" w:rsidR="009454A0" w:rsidRDefault="009454A0" w:rsidP="00860348">
      <w:pPr>
        <w:spacing w:line="360" w:lineRule="auto"/>
        <w:jc w:val="both"/>
      </w:pPr>
    </w:p>
    <w:p w14:paraId="0F6FF7AE" w14:textId="77777777" w:rsidR="009454A0" w:rsidRDefault="009454A0" w:rsidP="00860348">
      <w:pPr>
        <w:spacing w:line="360" w:lineRule="auto"/>
        <w:jc w:val="both"/>
      </w:pPr>
    </w:p>
    <w:p w14:paraId="371BAA3F" w14:textId="53817640" w:rsidR="00C80C75" w:rsidRPr="007F6F85" w:rsidRDefault="00C74E96" w:rsidP="00860348">
      <w:pPr>
        <w:spacing w:line="360" w:lineRule="auto"/>
        <w:jc w:val="both"/>
        <w:rPr>
          <w:b/>
        </w:rPr>
      </w:pPr>
      <w:r>
        <w:rPr>
          <w:b/>
        </w:rPr>
        <w:lastRenderedPageBreak/>
        <w:t>2</w:t>
      </w:r>
      <w:r w:rsidR="000536F0">
        <w:rPr>
          <w:b/>
        </w:rPr>
        <w:t>.1.7</w:t>
      </w:r>
      <w:r w:rsidR="007F6F85" w:rsidRPr="007F6F85">
        <w:rPr>
          <w:b/>
        </w:rPr>
        <w:t xml:space="preserve"> </w:t>
      </w:r>
      <w:r w:rsidR="0015338B">
        <w:rPr>
          <w:b/>
        </w:rPr>
        <w:t>Távollétek</w:t>
      </w:r>
      <w:r w:rsidR="007F6F85" w:rsidRPr="007F6F85">
        <w:rPr>
          <w:b/>
        </w:rPr>
        <w:t xml:space="preserve"> okai</w:t>
      </w:r>
      <w:r w:rsidR="000E3FD3">
        <w:rPr>
          <w:b/>
        </w:rPr>
        <w:t xml:space="preserve"> és száma 2024-ben </w:t>
      </w:r>
    </w:p>
    <w:p w14:paraId="3B5F01F0" w14:textId="41BDF1E7" w:rsidR="007F6F85" w:rsidRDefault="007F6F85" w:rsidP="00860348">
      <w:pPr>
        <w:spacing w:line="360" w:lineRule="auto"/>
        <w:jc w:val="both"/>
      </w:pPr>
    </w:p>
    <w:p w14:paraId="46DA1FDD" w14:textId="473543FC" w:rsidR="00C80C75" w:rsidRDefault="000E3FD3" w:rsidP="00860348">
      <w:pPr>
        <w:spacing w:line="360" w:lineRule="auto"/>
        <w:jc w:val="both"/>
      </w:pPr>
      <w:r>
        <w:rPr>
          <w:noProof/>
        </w:rPr>
        <w:drawing>
          <wp:inline distT="0" distB="0" distL="0" distR="0" wp14:anchorId="617DE506" wp14:editId="35C80626">
            <wp:extent cx="5724525" cy="3543301"/>
            <wp:effectExtent l="38100" t="95250" r="85725" b="38100"/>
            <wp:docPr id="15" name="Diagram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39054CA8" w14:textId="33B7A84A" w:rsidR="00C80C75" w:rsidRPr="006D056A" w:rsidRDefault="00C74E96" w:rsidP="00860348">
      <w:pPr>
        <w:spacing w:line="360" w:lineRule="auto"/>
        <w:jc w:val="both"/>
        <w:rPr>
          <w:b/>
        </w:rPr>
      </w:pPr>
      <w:r>
        <w:rPr>
          <w:b/>
        </w:rPr>
        <w:t>2</w:t>
      </w:r>
      <w:r w:rsidR="006D056A" w:rsidRPr="006D056A">
        <w:rPr>
          <w:b/>
        </w:rPr>
        <w:t>.1.</w:t>
      </w:r>
      <w:r w:rsidR="000536F0">
        <w:rPr>
          <w:b/>
        </w:rPr>
        <w:t>8</w:t>
      </w:r>
      <w:r w:rsidR="006D056A" w:rsidRPr="006D056A">
        <w:rPr>
          <w:b/>
        </w:rPr>
        <w:t xml:space="preserve"> </w:t>
      </w:r>
      <w:r>
        <w:rPr>
          <w:b/>
        </w:rPr>
        <w:t>Közfoglalkoztatottak munkakör szerinti megoszlása 20</w:t>
      </w:r>
      <w:r w:rsidR="00F0634A">
        <w:rPr>
          <w:b/>
        </w:rPr>
        <w:t>2</w:t>
      </w:r>
      <w:r w:rsidR="000E3FD3">
        <w:rPr>
          <w:b/>
        </w:rPr>
        <w:t>4</w:t>
      </w:r>
      <w:r w:rsidR="0077491C">
        <w:rPr>
          <w:b/>
        </w:rPr>
        <w:t xml:space="preserve">-ben </w:t>
      </w:r>
      <w:r>
        <w:rPr>
          <w:b/>
        </w:rPr>
        <w:t xml:space="preserve"> </w:t>
      </w:r>
    </w:p>
    <w:p w14:paraId="1B5AAE0A" w14:textId="4B409221" w:rsidR="00C80C75" w:rsidRDefault="000E3FD3" w:rsidP="00860348">
      <w:pPr>
        <w:spacing w:line="360" w:lineRule="auto"/>
        <w:jc w:val="both"/>
      </w:pPr>
      <w:r>
        <w:rPr>
          <w:noProof/>
        </w:rPr>
        <w:drawing>
          <wp:inline distT="0" distB="0" distL="0" distR="0" wp14:anchorId="0732E6EA" wp14:editId="590E2644">
            <wp:extent cx="5759450" cy="3464487"/>
            <wp:effectExtent l="38100" t="95250" r="88900" b="41275"/>
            <wp:docPr id="16" name="Diagram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4899B2AC" w14:textId="77777777" w:rsidR="00056778" w:rsidRDefault="00C74E96" w:rsidP="00860348">
      <w:pPr>
        <w:spacing w:line="360" w:lineRule="auto"/>
        <w:jc w:val="both"/>
        <w:rPr>
          <w:b/>
        </w:rPr>
      </w:pPr>
      <w:r>
        <w:rPr>
          <w:b/>
        </w:rPr>
        <w:lastRenderedPageBreak/>
        <w:t>2</w:t>
      </w:r>
      <w:r w:rsidR="000536F0">
        <w:rPr>
          <w:b/>
        </w:rPr>
        <w:t>.1.9</w:t>
      </w:r>
      <w:r w:rsidR="00277BEB" w:rsidRPr="00277BEB">
        <w:rPr>
          <w:b/>
        </w:rPr>
        <w:t xml:space="preserve"> A közfoglalkoztatottak életkor szerinti megoszlása</w:t>
      </w:r>
    </w:p>
    <w:p w14:paraId="37AF3EBA" w14:textId="76AB71A1" w:rsidR="00277BEB" w:rsidRDefault="000E3FD3" w:rsidP="00860348">
      <w:pPr>
        <w:spacing w:line="360" w:lineRule="auto"/>
        <w:jc w:val="both"/>
        <w:rPr>
          <w:b/>
        </w:rPr>
      </w:pPr>
      <w:r>
        <w:rPr>
          <w:noProof/>
        </w:rPr>
        <w:drawing>
          <wp:inline distT="0" distB="0" distL="0" distR="0" wp14:anchorId="2A3327FF" wp14:editId="7F29F5EC">
            <wp:extent cx="5759450" cy="3307734"/>
            <wp:effectExtent l="38100" t="95250" r="88900" b="45085"/>
            <wp:docPr id="17" name="Diagram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5906404F" w14:textId="387E9F12" w:rsidR="00367644" w:rsidRPr="00355590" w:rsidRDefault="00F4778D" w:rsidP="00367644">
      <w:pPr>
        <w:pStyle w:val="Cmsor2"/>
        <w:rPr>
          <w:i w:val="0"/>
          <w:sz w:val="24"/>
          <w:szCs w:val="24"/>
        </w:rPr>
      </w:pPr>
      <w:r w:rsidRPr="00355590">
        <w:rPr>
          <w:i w:val="0"/>
          <w:sz w:val="24"/>
          <w:szCs w:val="24"/>
        </w:rPr>
        <w:t>Beszámoló a közmunka helyzetéről</w:t>
      </w:r>
    </w:p>
    <w:p w14:paraId="3598B6C3" w14:textId="77777777" w:rsidR="004361A9" w:rsidRPr="00355590" w:rsidRDefault="004361A9" w:rsidP="004361A9"/>
    <w:p w14:paraId="3EA83A1F" w14:textId="79C2661E" w:rsidR="004361A9" w:rsidRPr="00355590" w:rsidRDefault="004361A9" w:rsidP="004361A9">
      <w:pPr>
        <w:spacing w:line="360" w:lineRule="auto"/>
        <w:jc w:val="both"/>
      </w:pPr>
      <w:r w:rsidRPr="00355590">
        <w:t xml:space="preserve">Ebben a fejezetben Tardi Kálmán alpolgármester úr foglalja össze a </w:t>
      </w:r>
      <w:r w:rsidR="007E1EBA" w:rsidRPr="00355590">
        <w:t>202</w:t>
      </w:r>
      <w:r w:rsidR="00975FFB" w:rsidRPr="00355590">
        <w:t>4</w:t>
      </w:r>
      <w:r w:rsidRPr="00355590">
        <w:t>. évi közfoglalkoztatás tapasztalatait:</w:t>
      </w:r>
    </w:p>
    <w:p w14:paraId="6CA94E07" w14:textId="77777777" w:rsidR="00B4522C" w:rsidRPr="00355590" w:rsidRDefault="00B4522C" w:rsidP="00B4522C"/>
    <w:p w14:paraId="1F037586" w14:textId="77777777" w:rsidR="00355590" w:rsidRPr="00355590" w:rsidRDefault="008146F5" w:rsidP="00355590">
      <w:pPr>
        <w:pStyle w:val="NormlWeb"/>
        <w:spacing w:line="360" w:lineRule="auto"/>
        <w:jc w:val="both"/>
        <w:rPr>
          <w:color w:val="000000"/>
        </w:rPr>
      </w:pPr>
      <w:r w:rsidRPr="00355590">
        <w:t>„</w:t>
      </w:r>
      <w:r w:rsidR="00355590" w:rsidRPr="00355590">
        <w:rPr>
          <w:color w:val="000000"/>
        </w:rPr>
        <w:t xml:space="preserve">A közfoglalkoztatás működtetése egyre nagyobb kihívást jelent Önkormányzatunknak. Évről-évre szigorodnak a pályázati feltételek. A pályázat írása nem azonos a hagyományos pályázat írások körülményivel. Abban, hasonlít, hogy itt is meghatároznak bizonyos feltételeket, </w:t>
      </w:r>
      <w:proofErr w:type="gramStart"/>
      <w:r w:rsidR="00355590" w:rsidRPr="00355590">
        <w:rPr>
          <w:color w:val="000000"/>
        </w:rPr>
        <w:t>( létszám</w:t>
      </w:r>
      <w:proofErr w:type="gramEnd"/>
      <w:r w:rsidR="00355590" w:rsidRPr="00355590">
        <w:rPr>
          <w:color w:val="000000"/>
        </w:rPr>
        <w:t>, kertösszegek beszerezhető eszközök fogyóeszközök köre) de ezek a feltételek, mint a túlkelt tészta az idő múlásával általában folyamatosan romlanak, vagy erodálnak. Összességében azért elmondhatjuk, hogy a Balmazújváros járás legjobb érdekérvényesítő erejével rendelkezünk. Minden évben, így most is megköszönöm a pályázat elkészítésében résztvevő valamennyi dolgozó áldozatos munkáját.</w:t>
      </w:r>
    </w:p>
    <w:p w14:paraId="62C0537E" w14:textId="6BC46A0A" w:rsidR="00355590" w:rsidRPr="00355590" w:rsidRDefault="00355590" w:rsidP="00355590">
      <w:pPr>
        <w:spacing w:line="360" w:lineRule="auto"/>
        <w:jc w:val="both"/>
        <w:rPr>
          <w:color w:val="000000"/>
        </w:rPr>
      </w:pPr>
      <w:r w:rsidRPr="00355590">
        <w:rPr>
          <w:color w:val="000000"/>
        </w:rPr>
        <w:t xml:space="preserve">A </w:t>
      </w:r>
      <w:proofErr w:type="spellStart"/>
      <w:r w:rsidRPr="00355590">
        <w:rPr>
          <w:color w:val="000000"/>
        </w:rPr>
        <w:t>közfoglalkoztatotti</w:t>
      </w:r>
      <w:proofErr w:type="spellEnd"/>
      <w:r w:rsidRPr="00355590">
        <w:rPr>
          <w:color w:val="000000"/>
        </w:rPr>
        <w:t xml:space="preserve"> </w:t>
      </w:r>
      <w:r w:rsidR="00613D85">
        <w:rPr>
          <w:color w:val="000000"/>
        </w:rPr>
        <w:t>álláshelyek száma a</w:t>
      </w:r>
      <w:r w:rsidRPr="00355590">
        <w:rPr>
          <w:color w:val="000000"/>
        </w:rPr>
        <w:t xml:space="preserve"> 2023</w:t>
      </w:r>
      <w:r w:rsidR="00613D85">
        <w:rPr>
          <w:color w:val="000000"/>
        </w:rPr>
        <w:t xml:space="preserve">. évi </w:t>
      </w:r>
      <w:r w:rsidRPr="00355590">
        <w:rPr>
          <w:color w:val="000000"/>
        </w:rPr>
        <w:t>424 főről</w:t>
      </w:r>
      <w:r w:rsidR="00613D85">
        <w:rPr>
          <w:color w:val="000000"/>
        </w:rPr>
        <w:t>,</w:t>
      </w:r>
      <w:r w:rsidRPr="00355590">
        <w:rPr>
          <w:color w:val="000000"/>
        </w:rPr>
        <w:t xml:space="preserve"> 2024-ben </w:t>
      </w:r>
      <w:r w:rsidR="00613D85">
        <w:rPr>
          <w:color w:val="000000"/>
        </w:rPr>
        <w:t>322</w:t>
      </w:r>
      <w:r w:rsidRPr="00355590">
        <w:rPr>
          <w:color w:val="000000"/>
        </w:rPr>
        <w:t xml:space="preserve"> főre csökkent. </w:t>
      </w:r>
      <w:proofErr w:type="gramStart"/>
      <w:r w:rsidRPr="00355590">
        <w:rPr>
          <w:color w:val="000000"/>
        </w:rPr>
        <w:t>két</w:t>
      </w:r>
      <w:proofErr w:type="gramEnd"/>
      <w:r w:rsidRPr="00355590">
        <w:rPr>
          <w:color w:val="000000"/>
        </w:rPr>
        <w:t xml:space="preserve"> szám matematikai átlaga okozza a fél állományi létszámot. A csökkenés a 2023</w:t>
      </w:r>
      <w:r w:rsidR="00613D85">
        <w:rPr>
          <w:color w:val="000000"/>
        </w:rPr>
        <w:t xml:space="preserve">. </w:t>
      </w:r>
      <w:r w:rsidRPr="00355590">
        <w:rPr>
          <w:color w:val="000000"/>
        </w:rPr>
        <w:t xml:space="preserve">évi bázishoz képest </w:t>
      </w:r>
      <w:r w:rsidR="00613D85">
        <w:rPr>
          <w:color w:val="000000"/>
        </w:rPr>
        <w:t>102</w:t>
      </w:r>
      <w:r w:rsidRPr="00355590">
        <w:rPr>
          <w:color w:val="000000"/>
        </w:rPr>
        <w:t xml:space="preserve"> fő, ami igen jelentős létszám csökkenés.</w:t>
      </w:r>
    </w:p>
    <w:p w14:paraId="0750035C" w14:textId="77777777" w:rsidR="00355590" w:rsidRPr="00355590" w:rsidRDefault="00355590" w:rsidP="00355590">
      <w:pPr>
        <w:spacing w:line="360" w:lineRule="auto"/>
        <w:jc w:val="both"/>
        <w:rPr>
          <w:color w:val="000000"/>
        </w:rPr>
      </w:pPr>
      <w:r w:rsidRPr="00355590">
        <w:rPr>
          <w:color w:val="000000"/>
        </w:rPr>
        <w:lastRenderedPageBreak/>
        <w:t xml:space="preserve">Az előző évhez képest egyel kevesebb pályázatot valósítottunk meg, 2023-ban a Belügyminisztérium támogatásával, a rendkívül magas munkára várók miatt indítottunk egy 50 fős egyéb célprogramot. 2024-ben ilyen célprogram megvalósítására nem került sor. Ezen változástól eltekintve, a programjaink az előző évinek megfelelő struktúrában valósultak meg. </w:t>
      </w:r>
    </w:p>
    <w:p w14:paraId="239D9A32" w14:textId="77777777" w:rsidR="00355590" w:rsidRPr="00355590" w:rsidRDefault="00355590" w:rsidP="00355590">
      <w:pPr>
        <w:spacing w:line="360" w:lineRule="auto"/>
        <w:jc w:val="both"/>
        <w:rPr>
          <w:color w:val="000000"/>
        </w:rPr>
      </w:pPr>
      <w:r w:rsidRPr="00355590">
        <w:rPr>
          <w:color w:val="000000"/>
        </w:rPr>
        <w:t xml:space="preserve">A közfoglalkoztatás sikertörténete továbbra is az </w:t>
      </w:r>
      <w:proofErr w:type="spellStart"/>
      <w:r w:rsidRPr="00355590">
        <w:rPr>
          <w:color w:val="000000"/>
        </w:rPr>
        <w:t>Ebrendészeti</w:t>
      </w:r>
      <w:proofErr w:type="spellEnd"/>
      <w:r w:rsidRPr="00355590">
        <w:rPr>
          <w:color w:val="000000"/>
        </w:rPr>
        <w:t xml:space="preserve"> Telep. Minden évben növekszik a telep által előállított árbevétel és az árbevétel növekedéssel arányosan az ott elvégzett munka. Minden évben növekszik a szerződéses partnerek száma, mely növekedés generálja a nagyobb árbevételt. Úgy gondolom, hogy a telep további beruházások, fejlesztések nélkül elérkezett a befogadó képessége csúcsához. Végezték úgy munkájukat, hogy folyamatosan öregbítették településünk és Önkormányzatunk jó hírét. Az év során kettő rosszindulatú feljelentés okozott némi plusz munkát. Az egyik a trágyakezeléssel kapcsolatos volt. A </w:t>
      </w:r>
      <w:proofErr w:type="spellStart"/>
      <w:r w:rsidRPr="00355590">
        <w:rPr>
          <w:color w:val="000000"/>
        </w:rPr>
        <w:t>főállatorvos</w:t>
      </w:r>
      <w:proofErr w:type="spellEnd"/>
      <w:r w:rsidRPr="00355590">
        <w:rPr>
          <w:color w:val="000000"/>
        </w:rPr>
        <w:t xml:space="preserve"> kivizsgálva a feljelentést megállapította, hogy a trágyakezelés a hatályos előírásoknak megfelelően történik. A komposztált, érlelt trágya nem jelent közegészségi veszélyhelyzetet.</w:t>
      </w:r>
    </w:p>
    <w:p w14:paraId="7031255C" w14:textId="77777777" w:rsidR="00355590" w:rsidRPr="00355590" w:rsidRDefault="00355590" w:rsidP="00355590">
      <w:pPr>
        <w:spacing w:line="360" w:lineRule="auto"/>
        <w:jc w:val="both"/>
        <w:rPr>
          <w:color w:val="000000"/>
        </w:rPr>
      </w:pPr>
      <w:r w:rsidRPr="00355590">
        <w:rPr>
          <w:color w:val="000000"/>
        </w:rPr>
        <w:t>A másik bejelentés munkavédelmi szabálytalanságokra utalt, mely vizsgálat az ellenőrzés által meg nem talált, de meglévő intézkedések és szabályok bemutatásával és néhány szervezési intézkedés (piktogramok) cseréjével megoldódott. Sajnos újra beigazolódott, hogy a sértett emberek minden gonoszságra képesek. A céljukat ugyan elképzelésük szerint nem érték el, de jelentős munkát adtak több dolgozónknak.</w:t>
      </w:r>
    </w:p>
    <w:p w14:paraId="28733947" w14:textId="771F70B8" w:rsidR="00355590" w:rsidRPr="00355590" w:rsidRDefault="00F6069B" w:rsidP="00355590">
      <w:pPr>
        <w:spacing w:line="360" w:lineRule="auto"/>
        <w:jc w:val="both"/>
        <w:rPr>
          <w:color w:val="000000"/>
        </w:rPr>
      </w:pPr>
      <w:r>
        <w:rPr>
          <w:color w:val="000000"/>
        </w:rPr>
        <w:t>A b</w:t>
      </w:r>
      <w:r w:rsidR="00355590" w:rsidRPr="00355590">
        <w:rPr>
          <w:color w:val="000000"/>
        </w:rPr>
        <w:t>etonüzem továbbra is hozza az elvárt mutatóit. Termelésükkel megteremtik a fejlesztési feltételeket mind az Önkormányzati, mind a lakossági járda felújítások számára. Év közben több nagyobb megrendelésük volt, időnként súlyozni kellett a megrendelések kivitelezési sorrendjét. A betontermékek mellett, kerítésdrótot is fonunk. A jövőre nézve át kell gondolni, hogy érdemes-e a vastagabb keresztmetszetű drótból, kézzel fonott terméket gyártani, van-e rá fizetőképes kereslet.</w:t>
      </w:r>
    </w:p>
    <w:p w14:paraId="67692033" w14:textId="77777777" w:rsidR="00355590" w:rsidRPr="00355590" w:rsidRDefault="00355590" w:rsidP="00355590">
      <w:pPr>
        <w:spacing w:line="360" w:lineRule="auto"/>
        <w:jc w:val="both"/>
        <w:rPr>
          <w:color w:val="000000"/>
        </w:rPr>
      </w:pPr>
      <w:r w:rsidRPr="00355590">
        <w:rPr>
          <w:color w:val="000000"/>
        </w:rPr>
        <w:t>Alkalmanként munkaerő problémákkal küszködnek, sokan nehezen viselik a magas zajt, huzatot, a rendszeres munkaidő betartásával kapcsolatos szabályokat, de a problémákat általában rövid időn belül megszüntetjük.</w:t>
      </w:r>
    </w:p>
    <w:p w14:paraId="47052256" w14:textId="58741707" w:rsidR="00355590" w:rsidRPr="00355590" w:rsidRDefault="00355590" w:rsidP="00355590">
      <w:pPr>
        <w:spacing w:line="360" w:lineRule="auto"/>
        <w:jc w:val="both"/>
        <w:rPr>
          <w:color w:val="000000"/>
        </w:rPr>
      </w:pPr>
      <w:r w:rsidRPr="00355590">
        <w:rPr>
          <w:color w:val="000000"/>
        </w:rPr>
        <w:t xml:space="preserve">Varroda: Kiszámítható stabil munkaterület és kiszámítható stabil munkateljesítmény jellemzi az ezen a területen dolgozó asszonyainkat. </w:t>
      </w:r>
      <w:r w:rsidR="00613D85">
        <w:rPr>
          <w:color w:val="000000"/>
        </w:rPr>
        <w:t xml:space="preserve">A varroda vezetője lelkiismeretesen irányítja </w:t>
      </w:r>
      <w:proofErr w:type="spellStart"/>
      <w:r w:rsidR="00613D85">
        <w:rPr>
          <w:color w:val="000000"/>
        </w:rPr>
        <w:t>munkavállalalóit</w:t>
      </w:r>
      <w:proofErr w:type="spellEnd"/>
      <w:r w:rsidR="00613D85">
        <w:rPr>
          <w:color w:val="000000"/>
        </w:rPr>
        <w:t xml:space="preserve">. </w:t>
      </w:r>
      <w:r w:rsidRPr="00355590">
        <w:rPr>
          <w:color w:val="000000"/>
        </w:rPr>
        <w:t xml:space="preserve"> Hasonló a helyzet, mint a betonüzemben, sokan itt sem bírják a kötöttséget, </w:t>
      </w:r>
      <w:r w:rsidRPr="00355590">
        <w:rPr>
          <w:color w:val="000000"/>
        </w:rPr>
        <w:lastRenderedPageBreak/>
        <w:t>a monotóniát, ezért 2024</w:t>
      </w:r>
      <w:r w:rsidR="00F6069B">
        <w:rPr>
          <w:color w:val="000000"/>
        </w:rPr>
        <w:t>.</w:t>
      </w:r>
      <w:r w:rsidRPr="00355590">
        <w:rPr>
          <w:color w:val="000000"/>
        </w:rPr>
        <w:t xml:space="preserve"> évben igen nagy volt a cserélődés. Több teljesen szakképzetlen dolgozó betanítását magára vállaló vezető, némi hatékonyság csökkenéssel megoldotta a varroda folyamatos működését.</w:t>
      </w:r>
    </w:p>
    <w:p w14:paraId="2B0326F8" w14:textId="22BD2A05" w:rsidR="00355590" w:rsidRPr="00355590" w:rsidRDefault="00355590" w:rsidP="00355590">
      <w:pPr>
        <w:spacing w:line="360" w:lineRule="auto"/>
        <w:jc w:val="both"/>
        <w:rPr>
          <w:rFonts w:eastAsia="Calibri"/>
          <w:lang w:eastAsia="en-US"/>
        </w:rPr>
      </w:pPr>
      <w:r w:rsidRPr="00355590">
        <w:rPr>
          <w:rFonts w:eastAsia="Calibri"/>
          <w:lang w:eastAsia="en-US"/>
        </w:rPr>
        <w:t>A helyi sportélet  működésének sarkalatos pontját adja az a 12 fő közfoglalkoztatott</w:t>
      </w:r>
      <w:r w:rsidR="00F6069B">
        <w:rPr>
          <w:rFonts w:eastAsia="Calibri"/>
          <w:lang w:eastAsia="en-US"/>
        </w:rPr>
        <w:t>,</w:t>
      </w:r>
      <w:r w:rsidRPr="00355590">
        <w:rPr>
          <w:rFonts w:eastAsia="Calibri"/>
          <w:lang w:eastAsia="en-US"/>
        </w:rPr>
        <w:t xml:space="preserve"> aki</w:t>
      </w:r>
      <w:r w:rsidR="00F6069B">
        <w:rPr>
          <w:rFonts w:eastAsia="Calibri"/>
          <w:lang w:eastAsia="en-US"/>
        </w:rPr>
        <w:t>k</w:t>
      </w:r>
      <w:r w:rsidRPr="00355590">
        <w:rPr>
          <w:rFonts w:eastAsia="Calibri"/>
          <w:lang w:eastAsia="en-US"/>
        </w:rPr>
        <w:t xml:space="preserve"> felügyelik a helyi sportpálya és sportcentrum  állapotát</w:t>
      </w:r>
      <w:r w:rsidR="00F6069B">
        <w:rPr>
          <w:rFonts w:eastAsia="Calibri"/>
          <w:lang w:eastAsia="en-US"/>
        </w:rPr>
        <w:t>,</w:t>
      </w:r>
      <w:r w:rsidRPr="00355590">
        <w:rPr>
          <w:rFonts w:eastAsia="Calibri"/>
          <w:lang w:eastAsia="en-US"/>
        </w:rPr>
        <w:t xml:space="preserve"> biztosítják </w:t>
      </w:r>
      <w:proofErr w:type="gramStart"/>
      <w:r w:rsidRPr="00355590">
        <w:rPr>
          <w:rFonts w:eastAsia="Calibri"/>
          <w:lang w:eastAsia="en-US"/>
        </w:rPr>
        <w:t>ezen</w:t>
      </w:r>
      <w:proofErr w:type="gramEnd"/>
      <w:r w:rsidRPr="00355590">
        <w:rPr>
          <w:rFonts w:eastAsia="Calibri"/>
          <w:lang w:eastAsia="en-US"/>
        </w:rPr>
        <w:t xml:space="preserve"> létesítmények szakszerű szabályszerű működését</w:t>
      </w:r>
      <w:r w:rsidR="00F6069B">
        <w:rPr>
          <w:rFonts w:eastAsia="Calibri"/>
          <w:lang w:eastAsia="en-US"/>
        </w:rPr>
        <w:t>,</w:t>
      </w:r>
      <w:r w:rsidRPr="00355590">
        <w:rPr>
          <w:rFonts w:eastAsia="Calibri"/>
          <w:lang w:eastAsia="en-US"/>
        </w:rPr>
        <w:t xml:space="preserve">  rendet és tisztaságot tartanak. Ez a segítség nagyobb működési támogatást jelen, mint az átadott pénzeszközök és előre vetíti a helyi sportélet magas szinten történő működését.</w:t>
      </w:r>
    </w:p>
    <w:p w14:paraId="32FAB6E3" w14:textId="77777777" w:rsidR="00355590" w:rsidRPr="00355590" w:rsidRDefault="00355590" w:rsidP="00355590">
      <w:pPr>
        <w:spacing w:line="360" w:lineRule="auto"/>
        <w:jc w:val="both"/>
        <w:rPr>
          <w:rFonts w:eastAsia="Calibri"/>
          <w:lang w:eastAsia="en-US"/>
        </w:rPr>
      </w:pPr>
      <w:r w:rsidRPr="00355590">
        <w:rPr>
          <w:rFonts w:eastAsia="Calibri"/>
          <w:lang w:eastAsia="en-US"/>
        </w:rPr>
        <w:t>Intézményi dolgozók: Az intézményi dolgozók elmondhatjuk, hogy a település működésének sarkalatos pontjait képezik. Legtöbb esetben csak az különbözteti meg a munkaviszonyban dolgozóinktól, hogy kevesebb fizetésért végzik lelkiismeretes munkájukat mindenki örömére. A jelenlegi állami finanszírozásból nem tudnánk minden Önkormányzati feladatot maradéktalanul ellátni. Köszönöm mindannyijuk áldozatos munkáját.</w:t>
      </w:r>
    </w:p>
    <w:p w14:paraId="5746DE2E" w14:textId="6EC41FA6" w:rsidR="00355590" w:rsidRPr="00355590" w:rsidRDefault="00355590" w:rsidP="00355590">
      <w:pPr>
        <w:spacing w:line="360" w:lineRule="auto"/>
        <w:jc w:val="both"/>
        <w:rPr>
          <w:rFonts w:eastAsia="Calibri"/>
          <w:lang w:eastAsia="en-US"/>
        </w:rPr>
      </w:pPr>
      <w:r w:rsidRPr="00355590">
        <w:rPr>
          <w:rFonts w:eastAsia="Calibri"/>
          <w:lang w:eastAsia="en-US"/>
        </w:rPr>
        <w:t>Mezőgazdasági program: A közfoglalkoztatás területei közül ezen a területen éltem meg a legnagyobb kudarcélményt. Még előttem a kép, hogy egy évvel ez előtt parázs vitát folyt</w:t>
      </w:r>
      <w:r w:rsidR="00F6069B">
        <w:rPr>
          <w:rFonts w:eastAsia="Calibri"/>
          <w:lang w:eastAsia="en-US"/>
        </w:rPr>
        <w:t>attunk testületi ülésen, hogy „</w:t>
      </w:r>
      <w:r w:rsidRPr="00355590">
        <w:rPr>
          <w:rFonts w:eastAsia="Calibri"/>
          <w:lang w:eastAsia="en-US"/>
        </w:rPr>
        <w:t>lenni, vagy nem lenni</w:t>
      </w:r>
      <w:r w:rsidR="00F6069B">
        <w:rPr>
          <w:rFonts w:eastAsia="Calibri"/>
          <w:lang w:eastAsia="en-US"/>
        </w:rPr>
        <w:t>, ez itt a kérdés”,</w:t>
      </w:r>
      <w:r w:rsidRPr="00355590">
        <w:rPr>
          <w:rFonts w:eastAsia="Calibri"/>
          <w:lang w:eastAsia="en-US"/>
        </w:rPr>
        <w:t xml:space="preserve"> egyáltalán működtessük-e ezen célprogramunkat. Végül a működés mellett döntöttünk. Nem tudom elfogadni, hogy nem lehet tisztán tartani 3 hektár területet, úgy hogy szükség esetén akár 119 szociális programban dolgozó embert lehet átirányítani az éppen aktuális feladat elvégzésére. A mezőgazdaságban a gazdálkodás hatékonyságát akár 50%-ban is befolyásolhatja a gyommentesen tartott kultúrnövény állapot. Ezt az állapotot évek óta nem, vagy csak részlegesen tudtuk elérni. A jövő év legkardinálisabb feladata a gyommentes kultúrák elérése lesz.  Másik kerékkötője az eredményes gazdálkodásnak a vagyonvédelem. A betakarításig eljutott zöldég növényeinket arra jogosulatlan személyek úgy vitték, mintha ők termesztették volna. Megdöbbenve vettem tudomásul, hogy az ott dolgozók jelzés nélkül, közönyösen tűrték a lopásokat. Tudomásomra jutás után kamera került kihelyezésre és annak hatékony működése kapcsán számtalan rendőrségi feljelentést kezdeményeztünk. Az elkövetőket zömében bírósági eljárás keretében elmarasztalták és kártérítésre kötelezték.</w:t>
      </w:r>
    </w:p>
    <w:p w14:paraId="54C681FF" w14:textId="77777777" w:rsidR="00355590" w:rsidRPr="00355590" w:rsidRDefault="00355590" w:rsidP="00355590">
      <w:pPr>
        <w:spacing w:line="360" w:lineRule="auto"/>
        <w:jc w:val="both"/>
        <w:rPr>
          <w:rFonts w:eastAsia="Calibri"/>
          <w:lang w:eastAsia="en-US"/>
        </w:rPr>
      </w:pPr>
      <w:r w:rsidRPr="00355590">
        <w:rPr>
          <w:rFonts w:eastAsia="Calibri"/>
          <w:lang w:eastAsia="en-US"/>
        </w:rPr>
        <w:t xml:space="preserve">Összességében, ha a fent írt két problémát sikerült volna kezelni, akkor az évtized második legnagyobb aszálya ellenére is eredményes lett volna gazdálkodásunk. </w:t>
      </w:r>
    </w:p>
    <w:p w14:paraId="5E75F411" w14:textId="77777777" w:rsidR="00355590" w:rsidRPr="00355590" w:rsidRDefault="00355590" w:rsidP="00355590">
      <w:pPr>
        <w:spacing w:line="360" w:lineRule="auto"/>
        <w:jc w:val="both"/>
        <w:rPr>
          <w:rFonts w:eastAsia="Calibri"/>
          <w:lang w:eastAsia="en-US"/>
        </w:rPr>
      </w:pPr>
      <w:r w:rsidRPr="00355590">
        <w:rPr>
          <w:rFonts w:eastAsia="Calibri"/>
          <w:lang w:eastAsia="en-US"/>
        </w:rPr>
        <w:t xml:space="preserve">Hérakleitosz görög filozófus szavaival élve: </w:t>
      </w:r>
    </w:p>
    <w:p w14:paraId="6E21279C" w14:textId="77777777" w:rsidR="00355590" w:rsidRPr="00355590" w:rsidRDefault="00355590" w:rsidP="00355590">
      <w:pPr>
        <w:spacing w:line="360" w:lineRule="auto"/>
        <w:jc w:val="both"/>
        <w:rPr>
          <w:rFonts w:eastAsia="Calibri"/>
          <w:lang w:eastAsia="en-US"/>
        </w:rPr>
      </w:pPr>
      <w:r w:rsidRPr="00355590">
        <w:rPr>
          <w:rFonts w:eastAsia="Calibri"/>
          <w:lang w:eastAsia="en-US"/>
        </w:rPr>
        <w:lastRenderedPageBreak/>
        <w:t>„Egyetlen ember sem léphet kétszer ugyanabba a folyóba,” A tanulságot levonva jövőre nem fogjuk elkövetni a fenti hibákat.</w:t>
      </w:r>
    </w:p>
    <w:p w14:paraId="08F97A0C" w14:textId="77777777" w:rsidR="00355590" w:rsidRPr="00355590" w:rsidRDefault="00355590" w:rsidP="00355590">
      <w:pPr>
        <w:spacing w:line="360" w:lineRule="auto"/>
        <w:jc w:val="both"/>
        <w:rPr>
          <w:rFonts w:eastAsia="Calibri"/>
          <w:lang w:eastAsia="en-US"/>
        </w:rPr>
      </w:pPr>
    </w:p>
    <w:p w14:paraId="65CBC0E6" w14:textId="77777777" w:rsidR="00355590" w:rsidRPr="00355590" w:rsidRDefault="00355590" w:rsidP="00355590">
      <w:pPr>
        <w:spacing w:line="360" w:lineRule="auto"/>
        <w:jc w:val="both"/>
        <w:rPr>
          <w:rFonts w:eastAsia="Calibri"/>
          <w:lang w:eastAsia="en-US"/>
        </w:rPr>
      </w:pPr>
      <w:r w:rsidRPr="00355590">
        <w:rPr>
          <w:rFonts w:eastAsia="Calibri"/>
          <w:lang w:eastAsia="en-US"/>
        </w:rPr>
        <w:t xml:space="preserve"> Szociális program: A közfoglalkoztatás legtöbb feladatot adó része a szociális program. Általában az ebben a programban dolgozók a település leszakadó társadalmi rétegébe tartozó embereiből, családjaiból tevődik össze. Ezen emberek koordinálása lényegesen több odafigyelést és ellenőrzést igényel. A napi szinten kiadott és normázott feladatokat folyamatosan kell ellenőrizni. Az elmúlt évekhez hasonlítva tapasztalható előrelépés, de még az elvárható hatásfokot nem értük el. Pozitív fejleményként élem meg, hogy a 2023 évi létszámhoz viszonyítva több mint 100-fős csökkenéssel is a település arculata negatívan nem változott a közterületek rendben voltak szemetesnek sem volt szemetesebb a település, mind három temető lényegében egész évben rendbe volt.  Tanulság ennek a célprogramnak a működésével az, hogy brigádokon belül is le kell osztani a felelősséget. Minden fának, minden virágágyásnak legyen meg a konkrét felelőse, akiknek azt rendben kell tartani.</w:t>
      </w:r>
    </w:p>
    <w:p w14:paraId="4EDD83A4" w14:textId="541F740E" w:rsidR="00355590" w:rsidRDefault="00355590" w:rsidP="00355590">
      <w:pPr>
        <w:spacing w:line="360" w:lineRule="auto"/>
        <w:jc w:val="both"/>
        <w:rPr>
          <w:rFonts w:eastAsia="Calibri"/>
          <w:bCs/>
          <w:lang w:eastAsia="en-US"/>
        </w:rPr>
      </w:pPr>
      <w:r w:rsidRPr="00355590">
        <w:rPr>
          <w:rFonts w:eastAsia="Calibri"/>
          <w:bCs/>
          <w:lang w:eastAsia="en-US"/>
        </w:rPr>
        <w:t xml:space="preserve">2024 Novemberében a </w:t>
      </w:r>
      <w:proofErr w:type="spellStart"/>
      <w:r w:rsidRPr="00355590">
        <w:rPr>
          <w:rFonts w:eastAsia="Calibri"/>
          <w:bCs/>
          <w:lang w:eastAsia="en-US"/>
        </w:rPr>
        <w:t>HB</w:t>
      </w:r>
      <w:r w:rsidR="00F6069B">
        <w:rPr>
          <w:rFonts w:eastAsia="Calibri"/>
          <w:bCs/>
          <w:lang w:eastAsia="en-US"/>
        </w:rPr>
        <w:t>V</w:t>
      </w:r>
      <w:r w:rsidRPr="00355590">
        <w:rPr>
          <w:rFonts w:eastAsia="Calibri"/>
          <w:bCs/>
          <w:lang w:eastAsia="en-US"/>
        </w:rPr>
        <w:t>M.-i</w:t>
      </w:r>
      <w:proofErr w:type="spellEnd"/>
      <w:r w:rsidRPr="00355590">
        <w:rPr>
          <w:rFonts w:eastAsia="Calibri"/>
          <w:bCs/>
          <w:lang w:eastAsia="en-US"/>
        </w:rPr>
        <w:t xml:space="preserve"> Kormány Hivatal Főosztály</w:t>
      </w:r>
      <w:r w:rsidR="00F6069B">
        <w:rPr>
          <w:rFonts w:eastAsia="Calibri"/>
          <w:bCs/>
          <w:lang w:eastAsia="en-US"/>
        </w:rPr>
        <w:t>-</w:t>
      </w:r>
      <w:r w:rsidRPr="00355590">
        <w:rPr>
          <w:rFonts w:eastAsia="Calibri"/>
          <w:bCs/>
          <w:lang w:eastAsia="en-US"/>
        </w:rPr>
        <w:t>vezetője értekezletet</w:t>
      </w:r>
      <w:r w:rsidRPr="00355590">
        <w:rPr>
          <w:rFonts w:eastAsia="Calibri"/>
          <w:bCs/>
          <w:lang w:eastAsia="en-US"/>
        </w:rPr>
        <w:t xml:space="preserve"> </w:t>
      </w:r>
      <w:r w:rsidRPr="00355590">
        <w:rPr>
          <w:rFonts w:eastAsia="Calibri"/>
          <w:bCs/>
          <w:lang w:eastAsia="en-US"/>
        </w:rPr>
        <w:t>tartott a Balmazújvárosi Járás település vezetői részére a 2025.</w:t>
      </w:r>
      <w:r>
        <w:rPr>
          <w:rFonts w:eastAsia="Calibri"/>
          <w:bCs/>
          <w:lang w:eastAsia="en-US"/>
        </w:rPr>
        <w:t xml:space="preserve"> </w:t>
      </w:r>
      <w:r w:rsidRPr="00355590">
        <w:rPr>
          <w:rFonts w:eastAsia="Calibri"/>
          <w:bCs/>
          <w:lang w:eastAsia="en-US"/>
        </w:rPr>
        <w:t xml:space="preserve">évi közfoglalkoztatással kapcsolatban. Az előadás: </w:t>
      </w:r>
    </w:p>
    <w:p w14:paraId="38F389A1" w14:textId="40448030" w:rsidR="00355590" w:rsidRDefault="00355590" w:rsidP="00355590">
      <w:pPr>
        <w:spacing w:line="360" w:lineRule="auto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- a</w:t>
      </w:r>
      <w:r w:rsidRPr="00355590">
        <w:rPr>
          <w:rFonts w:eastAsia="Calibri"/>
          <w:bCs/>
          <w:lang w:eastAsia="en-US"/>
        </w:rPr>
        <w:t xml:space="preserve"> szigorúbb többlépcsős tervezésről</w:t>
      </w:r>
      <w:r>
        <w:rPr>
          <w:rFonts w:eastAsia="Calibri"/>
          <w:bCs/>
          <w:lang w:eastAsia="en-US"/>
        </w:rPr>
        <w:t>,</w:t>
      </w:r>
      <w:r w:rsidRPr="00355590">
        <w:rPr>
          <w:rFonts w:eastAsia="Calibri"/>
          <w:bCs/>
          <w:lang w:eastAsia="en-US"/>
        </w:rPr>
        <w:t xml:space="preserve"> </w:t>
      </w:r>
    </w:p>
    <w:p w14:paraId="2E75D166" w14:textId="725E3E75" w:rsidR="00355590" w:rsidRDefault="00355590" w:rsidP="00355590">
      <w:pPr>
        <w:spacing w:line="360" w:lineRule="auto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- t</w:t>
      </w:r>
      <w:r w:rsidRPr="00355590">
        <w:rPr>
          <w:rFonts w:eastAsia="Calibri"/>
          <w:bCs/>
          <w:lang w:eastAsia="en-US"/>
        </w:rPr>
        <w:t>ámogatási források csökkenéséről</w:t>
      </w:r>
      <w:r>
        <w:rPr>
          <w:rFonts w:eastAsia="Calibri"/>
          <w:bCs/>
          <w:lang w:eastAsia="en-US"/>
        </w:rPr>
        <w:t>,</w:t>
      </w:r>
      <w:r w:rsidRPr="00355590">
        <w:rPr>
          <w:rFonts w:eastAsia="Calibri"/>
          <w:bCs/>
          <w:lang w:eastAsia="en-US"/>
        </w:rPr>
        <w:t xml:space="preserve"> </w:t>
      </w:r>
    </w:p>
    <w:p w14:paraId="1AD4FB94" w14:textId="1B4AC906" w:rsidR="00355590" w:rsidRDefault="00355590" w:rsidP="00355590">
      <w:pPr>
        <w:spacing w:line="360" w:lineRule="auto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- a</w:t>
      </w:r>
      <w:r w:rsidRPr="00355590">
        <w:rPr>
          <w:rFonts w:eastAsia="Calibri"/>
          <w:bCs/>
          <w:lang w:eastAsia="en-US"/>
        </w:rPr>
        <w:t xml:space="preserve"> közfoglalkoztatásban résztvevők létszámának csökkentéséről</w:t>
      </w:r>
      <w:r>
        <w:rPr>
          <w:rFonts w:eastAsia="Calibri"/>
          <w:bCs/>
          <w:lang w:eastAsia="en-US"/>
        </w:rPr>
        <w:t>,</w:t>
      </w:r>
      <w:r w:rsidRPr="00355590">
        <w:rPr>
          <w:rFonts w:eastAsia="Calibri"/>
          <w:bCs/>
          <w:lang w:eastAsia="en-US"/>
        </w:rPr>
        <w:t xml:space="preserve"> </w:t>
      </w:r>
    </w:p>
    <w:p w14:paraId="1F47D09C" w14:textId="6F7DB2A7" w:rsidR="00355590" w:rsidRPr="00355590" w:rsidRDefault="00355590" w:rsidP="00355590">
      <w:pPr>
        <w:spacing w:line="360" w:lineRule="auto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- s</w:t>
      </w:r>
      <w:r w:rsidRPr="00355590">
        <w:rPr>
          <w:rFonts w:eastAsia="Calibri"/>
          <w:bCs/>
          <w:lang w:eastAsia="en-US"/>
        </w:rPr>
        <w:t>zigorúbb ellenőrzésekr</w:t>
      </w:r>
      <w:r>
        <w:rPr>
          <w:rFonts w:eastAsia="Calibri"/>
          <w:bCs/>
          <w:lang w:eastAsia="en-US"/>
        </w:rPr>
        <w:t>ől,</w:t>
      </w:r>
      <w:r w:rsidRPr="00355590">
        <w:rPr>
          <w:rFonts w:eastAsia="Calibri"/>
          <w:bCs/>
          <w:lang w:eastAsia="en-US"/>
        </w:rPr>
        <w:t xml:space="preserve"> </w:t>
      </w:r>
    </w:p>
    <w:p w14:paraId="5493CEAB" w14:textId="744FB51E" w:rsidR="00355590" w:rsidRDefault="00355590" w:rsidP="00355590">
      <w:pPr>
        <w:spacing w:line="360" w:lineRule="auto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- a kiszabható k</w:t>
      </w:r>
      <w:r w:rsidRPr="00355590">
        <w:rPr>
          <w:rFonts w:eastAsia="Calibri"/>
          <w:bCs/>
          <w:lang w:eastAsia="en-US"/>
        </w:rPr>
        <w:t xml:space="preserve">özigazgatási bírság összegének </w:t>
      </w:r>
      <w:r>
        <w:rPr>
          <w:rFonts w:eastAsia="Calibri"/>
          <w:bCs/>
          <w:lang w:eastAsia="en-US"/>
        </w:rPr>
        <w:t>duplájára emeléséről,</w:t>
      </w:r>
      <w:r w:rsidRPr="00355590">
        <w:rPr>
          <w:rFonts w:eastAsia="Calibri"/>
          <w:bCs/>
          <w:lang w:eastAsia="en-US"/>
        </w:rPr>
        <w:t xml:space="preserve"> </w:t>
      </w:r>
    </w:p>
    <w:p w14:paraId="18E99705" w14:textId="3E4B44E7" w:rsidR="00355590" w:rsidRPr="00355590" w:rsidRDefault="00355590" w:rsidP="00355590">
      <w:pPr>
        <w:spacing w:line="360" w:lineRule="auto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- f</w:t>
      </w:r>
      <w:r w:rsidRPr="00355590">
        <w:rPr>
          <w:rFonts w:eastAsia="Calibri"/>
          <w:bCs/>
          <w:lang w:eastAsia="en-US"/>
        </w:rPr>
        <w:t>olyamatos Belügyminisztériumi,</w:t>
      </w:r>
      <w:r>
        <w:rPr>
          <w:rFonts w:eastAsia="Calibri"/>
          <w:bCs/>
          <w:lang w:eastAsia="en-US"/>
        </w:rPr>
        <w:t xml:space="preserve"> </w:t>
      </w:r>
      <w:r w:rsidRPr="00355590">
        <w:rPr>
          <w:rFonts w:eastAsia="Calibri"/>
          <w:bCs/>
          <w:lang w:eastAsia="en-US"/>
        </w:rPr>
        <w:t xml:space="preserve">és </w:t>
      </w:r>
      <w:r>
        <w:rPr>
          <w:rFonts w:eastAsia="Calibri"/>
          <w:bCs/>
          <w:lang w:eastAsia="en-US"/>
        </w:rPr>
        <w:t xml:space="preserve">kormányhivatali </w:t>
      </w:r>
      <w:r w:rsidRPr="00355590">
        <w:rPr>
          <w:rFonts w:eastAsia="Calibri"/>
          <w:bCs/>
          <w:lang w:eastAsia="en-US"/>
        </w:rPr>
        <w:t xml:space="preserve">ellenőrzésekről szólt. </w:t>
      </w:r>
    </w:p>
    <w:p w14:paraId="54534F44" w14:textId="4DFC7031" w:rsidR="00355590" w:rsidRPr="00355590" w:rsidRDefault="00355590" w:rsidP="00355590">
      <w:pPr>
        <w:spacing w:line="360" w:lineRule="auto"/>
        <w:jc w:val="both"/>
        <w:rPr>
          <w:rFonts w:eastAsia="Calibri"/>
          <w:b/>
          <w:bCs/>
          <w:i/>
          <w:lang w:eastAsia="en-US"/>
        </w:rPr>
      </w:pPr>
      <w:r w:rsidRPr="00355590">
        <w:rPr>
          <w:rFonts w:eastAsia="Calibri"/>
          <w:b/>
          <w:bCs/>
          <w:i/>
          <w:lang w:eastAsia="en-US"/>
        </w:rPr>
        <w:t xml:space="preserve">A fentiek szellemében felül kell vizsgálni eddigi működési gyakorlatunkat a közfoglalkoztatási álláshelyek megóvása </w:t>
      </w:r>
      <w:r w:rsidR="00F6069B">
        <w:rPr>
          <w:rFonts w:eastAsia="Calibri"/>
          <w:b/>
          <w:bCs/>
          <w:i/>
          <w:lang w:eastAsia="en-US"/>
        </w:rPr>
        <w:t xml:space="preserve">és településünk jó hírének </w:t>
      </w:r>
      <w:r w:rsidRPr="00355590">
        <w:rPr>
          <w:rFonts w:eastAsia="Calibri"/>
          <w:b/>
          <w:bCs/>
          <w:i/>
          <w:lang w:eastAsia="en-US"/>
        </w:rPr>
        <w:t>megóvása érdekében.</w:t>
      </w:r>
    </w:p>
    <w:p w14:paraId="1B14C33D" w14:textId="3AD20082" w:rsidR="00355590" w:rsidRPr="00355590" w:rsidRDefault="00355590" w:rsidP="00355590">
      <w:pPr>
        <w:spacing w:line="360" w:lineRule="auto"/>
        <w:jc w:val="both"/>
        <w:rPr>
          <w:rFonts w:eastAsia="Calibri"/>
          <w:bCs/>
          <w:lang w:eastAsia="en-US"/>
        </w:rPr>
      </w:pPr>
      <w:r w:rsidRPr="00355590">
        <w:rPr>
          <w:rFonts w:eastAsia="Calibri"/>
          <w:bCs/>
          <w:lang w:eastAsia="en-US"/>
        </w:rPr>
        <w:t>A fenti tájékoztatás hatásait már a bőrünkön éreztük a 2025</w:t>
      </w:r>
      <w:r>
        <w:rPr>
          <w:rFonts w:eastAsia="Calibri"/>
          <w:bCs/>
          <w:lang w:eastAsia="en-US"/>
        </w:rPr>
        <w:t xml:space="preserve">. </w:t>
      </w:r>
      <w:r w:rsidRPr="00355590">
        <w:rPr>
          <w:rFonts w:eastAsia="Calibri"/>
          <w:bCs/>
          <w:lang w:eastAsia="en-US"/>
        </w:rPr>
        <w:t>évi tervezésnél és az azóta bekövetkezett ellenőrzéseknél.</w:t>
      </w:r>
    </w:p>
    <w:p w14:paraId="0692C558" w14:textId="5FB90A7F" w:rsidR="00355590" w:rsidRPr="00355590" w:rsidRDefault="00355590" w:rsidP="00355590">
      <w:pPr>
        <w:spacing w:line="360" w:lineRule="auto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A </w:t>
      </w:r>
      <w:r w:rsidRPr="00355590">
        <w:rPr>
          <w:rFonts w:eastAsia="Calibri"/>
          <w:bCs/>
          <w:lang w:eastAsia="en-US"/>
        </w:rPr>
        <w:t>2024</w:t>
      </w:r>
      <w:r>
        <w:rPr>
          <w:rFonts w:eastAsia="Calibri"/>
          <w:bCs/>
          <w:lang w:eastAsia="en-US"/>
        </w:rPr>
        <w:t>. é</w:t>
      </w:r>
      <w:r w:rsidRPr="00355590">
        <w:rPr>
          <w:rFonts w:eastAsia="Calibri"/>
          <w:bCs/>
          <w:lang w:eastAsia="en-US"/>
        </w:rPr>
        <w:t>v</w:t>
      </w:r>
      <w:r>
        <w:rPr>
          <w:rFonts w:eastAsia="Calibri"/>
          <w:bCs/>
          <w:lang w:eastAsia="en-US"/>
        </w:rPr>
        <w:t>b</w:t>
      </w:r>
      <w:r w:rsidRPr="00355590">
        <w:rPr>
          <w:rFonts w:eastAsia="Calibri"/>
          <w:bCs/>
          <w:lang w:eastAsia="en-US"/>
        </w:rPr>
        <w:t>e</w:t>
      </w:r>
      <w:r>
        <w:rPr>
          <w:rFonts w:eastAsia="Calibri"/>
          <w:bCs/>
          <w:lang w:eastAsia="en-US"/>
        </w:rPr>
        <w:t>n végzett Belügyminisztériumi, megyei, és j</w:t>
      </w:r>
      <w:r w:rsidRPr="00355590">
        <w:rPr>
          <w:rFonts w:eastAsia="Calibri"/>
          <w:bCs/>
          <w:lang w:eastAsia="en-US"/>
        </w:rPr>
        <w:t xml:space="preserve">árási </w:t>
      </w:r>
      <w:r>
        <w:rPr>
          <w:rFonts w:eastAsia="Calibri"/>
          <w:bCs/>
          <w:lang w:eastAsia="en-US"/>
        </w:rPr>
        <w:t xml:space="preserve">hivatali </w:t>
      </w:r>
      <w:r w:rsidRPr="00355590">
        <w:rPr>
          <w:rFonts w:eastAsia="Calibri"/>
          <w:bCs/>
          <w:lang w:eastAsia="en-US"/>
        </w:rPr>
        <w:t>ellenőrzések legtöbbje hiányosságok feltárása nélkül zárult, elismerően nyilatkoztak a helyi közfoglalkoztatás állapotáról.</w:t>
      </w:r>
    </w:p>
    <w:p w14:paraId="70B5B342" w14:textId="6BA421D1" w:rsidR="008146F5" w:rsidRPr="00355590" w:rsidRDefault="00355590" w:rsidP="00355590">
      <w:pPr>
        <w:spacing w:line="360" w:lineRule="auto"/>
        <w:jc w:val="both"/>
      </w:pPr>
      <w:r w:rsidRPr="00355590">
        <w:rPr>
          <w:rFonts w:eastAsia="Calibri"/>
          <w:bCs/>
          <w:lang w:eastAsia="en-US"/>
        </w:rPr>
        <w:t>Ennyiben kívántam összefoglalni a közfoglalkoztatás 2024. évi helyzetét.</w:t>
      </w:r>
      <w:r w:rsidR="008146F5" w:rsidRPr="00355590">
        <w:t>”</w:t>
      </w:r>
    </w:p>
    <w:p w14:paraId="1E413F9D" w14:textId="3E5BFC7A" w:rsidR="0083029F" w:rsidRDefault="0083029F" w:rsidP="0083029F">
      <w:pPr>
        <w:pStyle w:val="Cmsor2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lastRenderedPageBreak/>
        <w:t>A 20</w:t>
      </w:r>
      <w:r w:rsidR="0057536C">
        <w:rPr>
          <w:i w:val="0"/>
          <w:sz w:val="24"/>
          <w:szCs w:val="24"/>
        </w:rPr>
        <w:t>2</w:t>
      </w:r>
      <w:r w:rsidR="00975FFB">
        <w:rPr>
          <w:i w:val="0"/>
          <w:sz w:val="24"/>
          <w:szCs w:val="24"/>
        </w:rPr>
        <w:t>5</w:t>
      </w:r>
      <w:r>
        <w:rPr>
          <w:i w:val="0"/>
          <w:sz w:val="24"/>
          <w:szCs w:val="24"/>
        </w:rPr>
        <w:t>. évre tervezett közfoglalkoztatás</w:t>
      </w:r>
    </w:p>
    <w:p w14:paraId="483238DC" w14:textId="77777777" w:rsidR="0083029F" w:rsidRDefault="0083029F" w:rsidP="0083029F"/>
    <w:p w14:paraId="49BC2D0F" w14:textId="176A092B" w:rsidR="0057536C" w:rsidRDefault="0013057E" w:rsidP="0083029F">
      <w:pPr>
        <w:spacing w:line="360" w:lineRule="auto"/>
        <w:jc w:val="both"/>
      </w:pPr>
      <w:r>
        <w:t>A</w:t>
      </w:r>
      <w:r w:rsidR="00C74E96">
        <w:t xml:space="preserve"> 20</w:t>
      </w:r>
      <w:r w:rsidR="0057536C">
        <w:t>2</w:t>
      </w:r>
      <w:r w:rsidR="00975FFB">
        <w:t>5</w:t>
      </w:r>
      <w:r w:rsidR="00C74E96">
        <w:t>. évi mintaprojektek tervezési időszaka a végéhez közeledik. 20</w:t>
      </w:r>
      <w:r w:rsidR="0057536C">
        <w:t>2</w:t>
      </w:r>
      <w:r w:rsidR="00975FFB">
        <w:t>5</w:t>
      </w:r>
      <w:r w:rsidR="0057536C">
        <w:t xml:space="preserve">. </w:t>
      </w:r>
      <w:r w:rsidR="006C0763">
        <w:t>január végén</w:t>
      </w:r>
      <w:r w:rsidR="00C74E96">
        <w:t xml:space="preserve"> </w:t>
      </w:r>
      <w:r w:rsidR="008778E4">
        <w:t xml:space="preserve">véget ér a tervezési és egyeztetési időszak. </w:t>
      </w:r>
    </w:p>
    <w:p w14:paraId="531969D2" w14:textId="2B578D1F" w:rsidR="00B746C4" w:rsidRDefault="0057536C" w:rsidP="0083029F">
      <w:pPr>
        <w:spacing w:line="360" w:lineRule="auto"/>
        <w:jc w:val="both"/>
      </w:pPr>
      <w:r>
        <w:t xml:space="preserve">A tervezés jelenlegi állása szerint </w:t>
      </w:r>
      <w:r w:rsidR="00B746C4">
        <w:t>az alábbiak szerint alakul a 20</w:t>
      </w:r>
      <w:r>
        <w:t>2</w:t>
      </w:r>
      <w:r w:rsidR="00975FFB">
        <w:t>5</w:t>
      </w:r>
      <w:r w:rsidR="00B746C4">
        <w:t>. évi mintaprojektekben tervezett foglalkoztatás:</w:t>
      </w:r>
    </w:p>
    <w:p w14:paraId="434CF5F7" w14:textId="77777777" w:rsidR="004361A9" w:rsidRDefault="004361A9" w:rsidP="0083029F">
      <w:pPr>
        <w:spacing w:line="36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A43FD6" w14:paraId="7F019315" w14:textId="77777777" w:rsidTr="005059C2">
        <w:tc>
          <w:tcPr>
            <w:tcW w:w="4605" w:type="dxa"/>
            <w:shd w:val="clear" w:color="auto" w:fill="auto"/>
          </w:tcPr>
          <w:p w14:paraId="0D44E023" w14:textId="77777777" w:rsidR="00A43FD6" w:rsidRPr="005059C2" w:rsidRDefault="00A43FD6" w:rsidP="005059C2">
            <w:pPr>
              <w:spacing w:line="360" w:lineRule="auto"/>
              <w:jc w:val="center"/>
              <w:rPr>
                <w:b/>
              </w:rPr>
            </w:pPr>
            <w:r w:rsidRPr="005059C2">
              <w:rPr>
                <w:b/>
              </w:rPr>
              <w:t>Mintaprojekt megnevezése</w:t>
            </w:r>
          </w:p>
        </w:tc>
        <w:tc>
          <w:tcPr>
            <w:tcW w:w="4605" w:type="dxa"/>
            <w:shd w:val="clear" w:color="auto" w:fill="auto"/>
          </w:tcPr>
          <w:p w14:paraId="2657526B" w14:textId="312B9BD3" w:rsidR="00A43FD6" w:rsidRPr="005059C2" w:rsidRDefault="00A43FD6" w:rsidP="005059C2">
            <w:pPr>
              <w:spacing w:line="360" w:lineRule="auto"/>
              <w:jc w:val="center"/>
              <w:rPr>
                <w:b/>
              </w:rPr>
            </w:pPr>
            <w:r w:rsidRPr="005059C2">
              <w:rPr>
                <w:b/>
              </w:rPr>
              <w:t>Foglalkoztatottak száma</w:t>
            </w:r>
            <w:r w:rsidR="00975FFB">
              <w:rPr>
                <w:b/>
              </w:rPr>
              <w:t xml:space="preserve"> (fő)</w:t>
            </w:r>
          </w:p>
        </w:tc>
      </w:tr>
      <w:tr w:rsidR="00A43FD6" w14:paraId="1A32A5E3" w14:textId="77777777" w:rsidTr="005059C2">
        <w:tc>
          <w:tcPr>
            <w:tcW w:w="4605" w:type="dxa"/>
            <w:shd w:val="clear" w:color="auto" w:fill="auto"/>
          </w:tcPr>
          <w:p w14:paraId="7A748004" w14:textId="30157D3B" w:rsidR="00A43FD6" w:rsidRDefault="00975FFB" w:rsidP="00975FFB">
            <w:pPr>
              <w:spacing w:line="360" w:lineRule="auto"/>
              <w:jc w:val="both"/>
            </w:pPr>
            <w:r>
              <w:t>Értékteremtő program (a mezőgazdasági és a helyi sajátosságokra épülő projekt összevonásra került)</w:t>
            </w:r>
          </w:p>
        </w:tc>
        <w:tc>
          <w:tcPr>
            <w:tcW w:w="4605" w:type="dxa"/>
            <w:shd w:val="clear" w:color="auto" w:fill="auto"/>
          </w:tcPr>
          <w:p w14:paraId="62600F2A" w14:textId="015C3125" w:rsidR="00A43FD6" w:rsidRPr="0095752B" w:rsidRDefault="00975FFB" w:rsidP="005059C2">
            <w:pPr>
              <w:spacing w:line="360" w:lineRule="auto"/>
              <w:jc w:val="both"/>
            </w:pPr>
            <w:r>
              <w:t>64</w:t>
            </w:r>
          </w:p>
        </w:tc>
      </w:tr>
      <w:tr w:rsidR="00A43FD6" w14:paraId="3E3F4F1C" w14:textId="77777777" w:rsidTr="005059C2">
        <w:tc>
          <w:tcPr>
            <w:tcW w:w="4605" w:type="dxa"/>
            <w:shd w:val="clear" w:color="auto" w:fill="auto"/>
          </w:tcPr>
          <w:p w14:paraId="0A0F5602" w14:textId="0D8A6EE8" w:rsidR="00A43FD6" w:rsidRDefault="008B1F30" w:rsidP="005059C2">
            <w:pPr>
              <w:spacing w:line="360" w:lineRule="auto"/>
              <w:jc w:val="both"/>
            </w:pPr>
            <w:r>
              <w:t>S</w:t>
            </w:r>
            <w:r w:rsidR="00CF2FA2">
              <w:t xml:space="preserve">zociális </w:t>
            </w:r>
            <w:r>
              <w:t xml:space="preserve">jellegű </w:t>
            </w:r>
            <w:r w:rsidR="00CF2FA2">
              <w:t>közfoglalkoztatás</w:t>
            </w:r>
          </w:p>
        </w:tc>
        <w:tc>
          <w:tcPr>
            <w:tcW w:w="4605" w:type="dxa"/>
            <w:shd w:val="clear" w:color="auto" w:fill="auto"/>
          </w:tcPr>
          <w:p w14:paraId="096336F0" w14:textId="0C04D9FE" w:rsidR="00A43FD6" w:rsidRPr="0095752B" w:rsidRDefault="006C0763" w:rsidP="00975FFB">
            <w:pPr>
              <w:spacing w:line="360" w:lineRule="auto"/>
              <w:jc w:val="both"/>
            </w:pPr>
            <w:r>
              <w:t>1</w:t>
            </w:r>
            <w:r w:rsidR="00975FFB">
              <w:t>07</w:t>
            </w:r>
          </w:p>
        </w:tc>
      </w:tr>
      <w:tr w:rsidR="00A43FD6" w14:paraId="75EF685B" w14:textId="77777777" w:rsidTr="005059C2">
        <w:tc>
          <w:tcPr>
            <w:tcW w:w="4605" w:type="dxa"/>
            <w:shd w:val="clear" w:color="auto" w:fill="auto"/>
          </w:tcPr>
          <w:p w14:paraId="1DCAA84F" w14:textId="77777777" w:rsidR="00A43FD6" w:rsidRPr="005059C2" w:rsidRDefault="00A43FD6" w:rsidP="005059C2">
            <w:pPr>
              <w:spacing w:line="360" w:lineRule="auto"/>
              <w:jc w:val="both"/>
              <w:rPr>
                <w:b/>
              </w:rPr>
            </w:pPr>
            <w:r w:rsidRPr="005059C2">
              <w:rPr>
                <w:b/>
              </w:rPr>
              <w:t>Összesen</w:t>
            </w:r>
          </w:p>
        </w:tc>
        <w:tc>
          <w:tcPr>
            <w:tcW w:w="4605" w:type="dxa"/>
            <w:shd w:val="clear" w:color="auto" w:fill="auto"/>
          </w:tcPr>
          <w:p w14:paraId="02A7AEF4" w14:textId="491DC323" w:rsidR="00A43FD6" w:rsidRPr="0095752B" w:rsidRDefault="00975FFB" w:rsidP="0095752B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17</w:t>
            </w:r>
            <w:r w:rsidR="001C1125">
              <w:rPr>
                <w:b/>
              </w:rPr>
              <w:t>1</w:t>
            </w:r>
          </w:p>
        </w:tc>
      </w:tr>
    </w:tbl>
    <w:p w14:paraId="7C836138" w14:textId="77777777" w:rsidR="00A43FD6" w:rsidRDefault="00A43FD6" w:rsidP="0083029F">
      <w:pPr>
        <w:spacing w:line="360" w:lineRule="auto"/>
        <w:jc w:val="both"/>
      </w:pPr>
    </w:p>
    <w:p w14:paraId="5735A358" w14:textId="4BF2C961" w:rsidR="0028684F" w:rsidRPr="0095752B" w:rsidRDefault="00A43FD6" w:rsidP="0083029F">
      <w:pPr>
        <w:spacing w:line="360" w:lineRule="auto"/>
        <w:jc w:val="both"/>
      </w:pPr>
      <w:r w:rsidRPr="0095752B">
        <w:t>A terveink szerint megvalósuló p</w:t>
      </w:r>
      <w:r w:rsidR="0028684F" w:rsidRPr="0095752B">
        <w:t xml:space="preserve">rojektekkel összesen </w:t>
      </w:r>
      <w:r w:rsidR="00975FFB">
        <w:t>296</w:t>
      </w:r>
      <w:r w:rsidR="00DE5E68">
        <w:t xml:space="preserve"> 981 </w:t>
      </w:r>
      <w:r w:rsidR="00975FFB">
        <w:t>124</w:t>
      </w:r>
      <w:r w:rsidR="001B6FCF" w:rsidRPr="0095752B">
        <w:t xml:space="preserve"> </w:t>
      </w:r>
      <w:r w:rsidRPr="0095752B">
        <w:t xml:space="preserve">forint összegű </w:t>
      </w:r>
      <w:r w:rsidR="0028684F" w:rsidRPr="0095752B">
        <w:t xml:space="preserve">bér- és </w:t>
      </w:r>
      <w:proofErr w:type="gramStart"/>
      <w:r w:rsidR="0028684F" w:rsidRPr="0095752B">
        <w:t xml:space="preserve">járulék </w:t>
      </w:r>
      <w:r w:rsidR="00C0682C" w:rsidRPr="0095752B">
        <w:t>támogatáshoz</w:t>
      </w:r>
      <w:proofErr w:type="gramEnd"/>
      <w:r w:rsidR="00C0682C" w:rsidRPr="0095752B">
        <w:t xml:space="preserve"> kívánunk jutni. </w:t>
      </w:r>
    </w:p>
    <w:p w14:paraId="3FC84681" w14:textId="77777777" w:rsidR="0028684F" w:rsidRPr="0095752B" w:rsidRDefault="0028684F" w:rsidP="0083029F">
      <w:pPr>
        <w:spacing w:line="360" w:lineRule="auto"/>
        <w:jc w:val="both"/>
      </w:pPr>
    </w:p>
    <w:p w14:paraId="01458D0C" w14:textId="29252953" w:rsidR="00A43FD6" w:rsidRDefault="00C0682C" w:rsidP="0083029F">
      <w:pPr>
        <w:spacing w:line="360" w:lineRule="auto"/>
        <w:jc w:val="both"/>
      </w:pPr>
      <w:r w:rsidRPr="0095752B">
        <w:t>A programok megvalósításának közvetlen költsége</w:t>
      </w:r>
      <w:r w:rsidR="005920CD" w:rsidRPr="0095752B">
        <w:t xml:space="preserve"> várhatóan</w:t>
      </w:r>
      <w:r w:rsidR="0014435E">
        <w:t xml:space="preserve"> </w:t>
      </w:r>
      <w:r w:rsidR="00975FFB">
        <w:t>50 776 141</w:t>
      </w:r>
      <w:r w:rsidR="00B71E05" w:rsidRPr="0095752B">
        <w:t xml:space="preserve"> Ft </w:t>
      </w:r>
      <w:r w:rsidR="005920CD" w:rsidRPr="0095752B">
        <w:t>lesz</w:t>
      </w:r>
      <w:r w:rsidR="0028684F" w:rsidRPr="0095752B">
        <w:t xml:space="preserve">, amelyből </w:t>
      </w:r>
      <w:r w:rsidR="001C1125">
        <w:t>4</w:t>
      </w:r>
      <w:r w:rsidR="00DE5E68">
        <w:t>4 471 066</w:t>
      </w:r>
      <w:r w:rsidR="005A7623" w:rsidRPr="0095752B">
        <w:t xml:space="preserve"> </w:t>
      </w:r>
      <w:r w:rsidR="00B71E05" w:rsidRPr="0095752B">
        <w:t>Ft</w:t>
      </w:r>
      <w:r w:rsidR="0028684F" w:rsidRPr="0095752B">
        <w:t xml:space="preserve"> a támogatás és</w:t>
      </w:r>
      <w:r w:rsidR="005A7623" w:rsidRPr="0095752B">
        <w:t xml:space="preserve"> </w:t>
      </w:r>
      <w:r w:rsidR="00DE5E68">
        <w:t>6 305 075</w:t>
      </w:r>
      <w:r w:rsidR="00B71E05" w:rsidRPr="0095752B">
        <w:t xml:space="preserve"> Ft</w:t>
      </w:r>
      <w:r w:rsidR="0028684F" w:rsidRPr="0095752B">
        <w:t xml:space="preserve"> az önkormányzati önerő.</w:t>
      </w:r>
    </w:p>
    <w:p w14:paraId="6440B217" w14:textId="434155C7" w:rsidR="005920CD" w:rsidRDefault="00B0230D" w:rsidP="00883F45">
      <w:pPr>
        <w:tabs>
          <w:tab w:val="left" w:pos="5640"/>
          <w:tab w:val="left" w:pos="6750"/>
        </w:tabs>
        <w:spacing w:line="360" w:lineRule="auto"/>
        <w:jc w:val="both"/>
      </w:pPr>
      <w:r>
        <w:tab/>
      </w:r>
      <w:r w:rsidR="00883F45">
        <w:tab/>
      </w:r>
    </w:p>
    <w:p w14:paraId="20FD070F" w14:textId="6344D3F9" w:rsidR="0028684F" w:rsidRDefault="00A43FD6" w:rsidP="0083029F">
      <w:pPr>
        <w:spacing w:line="360" w:lineRule="auto"/>
        <w:jc w:val="both"/>
      </w:pPr>
      <w:r>
        <w:t>A mintaprojekteken túli</w:t>
      </w:r>
      <w:r w:rsidR="00362198">
        <w:t>,</w:t>
      </w:r>
      <w:r>
        <w:t xml:space="preserve"> hosszabb </w:t>
      </w:r>
      <w:r w:rsidR="008778E4">
        <w:t xml:space="preserve">időtartamú közfoglalkoztatás lehetőségei </w:t>
      </w:r>
      <w:r w:rsidR="00873D60">
        <w:t xml:space="preserve">még </w:t>
      </w:r>
      <w:r w:rsidR="00CF2FA2">
        <w:t xml:space="preserve">nem ismertek, </w:t>
      </w:r>
      <w:r w:rsidR="00941BF7">
        <w:t xml:space="preserve">de </w:t>
      </w:r>
      <w:r w:rsidR="007E1EBA">
        <w:t>terveink szerint nem lesz olyan nagymértékű a foglalkoztatás ebben a pályázati konstrukcióban, mint a korábbi években.</w:t>
      </w:r>
    </w:p>
    <w:p w14:paraId="151DA1BF" w14:textId="062C6251" w:rsidR="0056570B" w:rsidRDefault="00A94D0E" w:rsidP="00464057">
      <w:pPr>
        <w:spacing w:line="360" w:lineRule="auto"/>
        <w:jc w:val="both"/>
      </w:pPr>
      <w:r>
        <w:t>E</w:t>
      </w:r>
      <w:r w:rsidR="0056570B">
        <w:t xml:space="preserve">gyek, </w:t>
      </w:r>
      <w:r w:rsidR="00D03B94">
        <w:t>202</w:t>
      </w:r>
      <w:r w:rsidR="00975FFB">
        <w:t>5</w:t>
      </w:r>
      <w:r w:rsidR="00D03B94">
        <w:t>.01.</w:t>
      </w:r>
      <w:r w:rsidR="00F4778D">
        <w:t>1</w:t>
      </w:r>
      <w:r w:rsidR="00975FFB">
        <w:t>4</w:t>
      </w:r>
      <w:bookmarkStart w:id="6" w:name="_GoBack"/>
      <w:bookmarkEnd w:id="6"/>
    </w:p>
    <w:p w14:paraId="2CD2E179" w14:textId="77777777" w:rsidR="0056570B" w:rsidRDefault="0056570B" w:rsidP="00464057">
      <w:pPr>
        <w:spacing w:line="360" w:lineRule="auto"/>
        <w:jc w:val="both"/>
      </w:pPr>
    </w:p>
    <w:p w14:paraId="3120A491" w14:textId="77777777" w:rsidR="0056570B" w:rsidRDefault="0056570B" w:rsidP="00464057">
      <w:pPr>
        <w:spacing w:line="360" w:lineRule="auto"/>
        <w:jc w:val="both"/>
      </w:pPr>
      <w:r>
        <w:t xml:space="preserve">         </w:t>
      </w:r>
      <w:r w:rsidR="00F4778D">
        <w:t xml:space="preserve">Tardi </w:t>
      </w:r>
      <w:proofErr w:type="gramStart"/>
      <w:r w:rsidR="00F4778D">
        <w:t>Kálmán</w:t>
      </w:r>
      <w:r>
        <w:t xml:space="preserve">                                                                  Bóta</w:t>
      </w:r>
      <w:proofErr w:type="gramEnd"/>
      <w:r>
        <w:t xml:space="preserve"> Barbara</w:t>
      </w:r>
    </w:p>
    <w:p w14:paraId="4C561EB3" w14:textId="77777777" w:rsidR="0056570B" w:rsidRPr="00913242" w:rsidRDefault="00F4778D" w:rsidP="00464057">
      <w:pPr>
        <w:spacing w:line="360" w:lineRule="auto"/>
        <w:jc w:val="both"/>
      </w:pPr>
      <w:r>
        <w:t xml:space="preserve">        </w:t>
      </w:r>
      <w:proofErr w:type="gramStart"/>
      <w:r>
        <w:t>alpolgármester</w:t>
      </w:r>
      <w:proofErr w:type="gramEnd"/>
      <w:r w:rsidR="0056570B">
        <w:t xml:space="preserve">  </w:t>
      </w:r>
      <w:r>
        <w:t xml:space="preserve">        </w:t>
      </w:r>
      <w:r w:rsidR="0056570B">
        <w:t xml:space="preserve">                                                           aljegyző</w:t>
      </w:r>
    </w:p>
    <w:sectPr w:rsidR="0056570B" w:rsidRPr="00913242" w:rsidSect="007F4D03">
      <w:pgSz w:w="11906" w:h="16838"/>
      <w:pgMar w:top="232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0A18B7" w14:textId="77777777" w:rsidR="00EE0E1D" w:rsidRDefault="00EE0E1D">
      <w:r>
        <w:separator/>
      </w:r>
    </w:p>
  </w:endnote>
  <w:endnote w:type="continuationSeparator" w:id="0">
    <w:p w14:paraId="5B7AD6A7" w14:textId="77777777" w:rsidR="00EE0E1D" w:rsidRDefault="00EE0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Black">
    <w:altName w:val="Nyala"/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Bookman Old Style">
    <w:altName w:val="Georgia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6B2C8" w14:textId="77777777" w:rsidR="00623B51" w:rsidRDefault="00623B51" w:rsidP="0072566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98597FF" w14:textId="77777777" w:rsidR="00623B51" w:rsidRDefault="00623B51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59D33" w14:textId="1AB7DA19" w:rsidR="00623B51" w:rsidRDefault="00623B51" w:rsidP="0072566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13D85">
      <w:rPr>
        <w:rStyle w:val="Oldalszm"/>
        <w:noProof/>
      </w:rPr>
      <w:t>13</w:t>
    </w:r>
    <w:r>
      <w:rPr>
        <w:rStyle w:val="Oldalszm"/>
      </w:rPr>
      <w:fldChar w:fldCharType="end"/>
    </w:r>
  </w:p>
  <w:p w14:paraId="16ACB048" w14:textId="77777777" w:rsidR="00623B51" w:rsidRDefault="00623B5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C84698" w14:textId="77777777" w:rsidR="00EE0E1D" w:rsidRDefault="00EE0E1D">
      <w:r>
        <w:separator/>
      </w:r>
    </w:p>
  </w:footnote>
  <w:footnote w:type="continuationSeparator" w:id="0">
    <w:p w14:paraId="230DDB16" w14:textId="77777777" w:rsidR="00EE0E1D" w:rsidRDefault="00EE0E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A615FC" w14:textId="77777777" w:rsidR="00623B51" w:rsidRPr="001D51DC" w:rsidRDefault="00623B51" w:rsidP="00935D91">
    <w:pPr>
      <w:pStyle w:val="lfej"/>
      <w:jc w:val="center"/>
      <w:rPr>
        <w:rFonts w:ascii="Bodoni MT Black" w:hAnsi="Bodoni MT Black" w:cs="Tahoma"/>
        <w:b/>
        <w:sz w:val="18"/>
        <w:szCs w:val="18"/>
      </w:rPr>
    </w:pPr>
    <w:r w:rsidRPr="001D51DC">
      <w:rPr>
        <w:rFonts w:ascii="Bodoni MT Black" w:hAnsi="Bodoni MT Black" w:cs="Tahoma"/>
        <w:b/>
        <w:sz w:val="18"/>
        <w:szCs w:val="18"/>
      </w:rPr>
      <w:t>Polgármesteri Hivatal Önkormányzati Iroda</w:t>
    </w:r>
  </w:p>
  <w:p w14:paraId="0CA6608F" w14:textId="77777777" w:rsidR="00623B51" w:rsidRPr="001D51DC" w:rsidRDefault="00623B51" w:rsidP="00C844BB">
    <w:pPr>
      <w:pStyle w:val="lfej"/>
      <w:jc w:val="center"/>
      <w:rPr>
        <w:rFonts w:ascii="Bodoni MT Black" w:hAnsi="Bodoni MT Black" w:cs="Tahoma"/>
        <w:b/>
        <w:sz w:val="18"/>
        <w:szCs w:val="18"/>
      </w:rPr>
    </w:pPr>
    <w:r w:rsidRPr="001D51DC">
      <w:rPr>
        <w:rFonts w:ascii="Bodoni MT Black" w:hAnsi="Bodoni MT Black" w:cs="Tahoma"/>
        <w:b/>
        <w:sz w:val="18"/>
        <w:szCs w:val="18"/>
      </w:rPr>
      <w:t>4069 Egyek, F</w:t>
    </w:r>
    <w:r w:rsidRPr="001D51DC">
      <w:rPr>
        <w:rFonts w:ascii="Bookman Old Style" w:hAnsi="Bookman Old Style" w:cs="Tahoma"/>
        <w:b/>
        <w:sz w:val="18"/>
        <w:szCs w:val="18"/>
      </w:rPr>
      <w:t>ő</w:t>
    </w:r>
    <w:r w:rsidRPr="001D51DC">
      <w:rPr>
        <w:rFonts w:ascii="Bodoni MT Black" w:hAnsi="Bodoni MT Black" w:cs="Tahoma"/>
        <w:b/>
        <w:sz w:val="18"/>
        <w:szCs w:val="18"/>
      </w:rPr>
      <w:t xml:space="preserve"> u. 3.</w:t>
    </w:r>
  </w:p>
  <w:p w14:paraId="65D2F2A9" w14:textId="77777777" w:rsidR="00623B51" w:rsidRPr="001D51DC" w:rsidRDefault="00623B51" w:rsidP="00C844BB">
    <w:pPr>
      <w:pStyle w:val="lfej"/>
      <w:jc w:val="center"/>
      <w:rPr>
        <w:rFonts w:ascii="Bodoni MT Black" w:hAnsi="Bodoni MT Black" w:cs="Tahoma"/>
        <w:b/>
        <w:sz w:val="18"/>
        <w:szCs w:val="18"/>
      </w:rPr>
    </w:pPr>
    <w:r w:rsidRPr="001D51DC">
      <w:rPr>
        <w:rFonts w:ascii="Bodoni MT Black" w:hAnsi="Bodoni MT Black" w:cs="Tahoma"/>
        <w:b/>
        <w:sz w:val="18"/>
        <w:szCs w:val="18"/>
      </w:rPr>
      <w:t>Tel./fax: 52/378-028</w:t>
    </w:r>
  </w:p>
  <w:p w14:paraId="68B43DBF" w14:textId="77777777" w:rsidR="00623B51" w:rsidRPr="001D51DC" w:rsidRDefault="00623B51" w:rsidP="00C844BB">
    <w:pPr>
      <w:pStyle w:val="lfej"/>
      <w:jc w:val="center"/>
      <w:rPr>
        <w:rFonts w:ascii="Bodoni MT Black" w:hAnsi="Bodoni MT Black" w:cs="Tahoma"/>
        <w:b/>
        <w:sz w:val="18"/>
        <w:szCs w:val="18"/>
      </w:rPr>
    </w:pPr>
    <w:r w:rsidRPr="001D51DC">
      <w:rPr>
        <w:rFonts w:ascii="Bodoni MT Black" w:hAnsi="Bodoni MT Black" w:cs="Tahoma"/>
        <w:b/>
        <w:sz w:val="18"/>
        <w:szCs w:val="18"/>
      </w:rPr>
      <w:t xml:space="preserve">E-mail: </w:t>
    </w:r>
    <w:hyperlink r:id="rId1" w:history="1">
      <w:r w:rsidRPr="001D51DC">
        <w:rPr>
          <w:rStyle w:val="Hiperhivatkozs"/>
          <w:rFonts w:ascii="Bodoni MT Black" w:hAnsi="Bodoni MT Black" w:cs="Tahoma"/>
          <w:b/>
          <w:sz w:val="18"/>
          <w:szCs w:val="18"/>
        </w:rPr>
        <w:t>egyek.onkiroda@bicomix.hu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6164B"/>
    <w:multiLevelType w:val="hybridMultilevel"/>
    <w:tmpl w:val="FF6EE05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F1301A"/>
    <w:multiLevelType w:val="hybridMultilevel"/>
    <w:tmpl w:val="355EC944"/>
    <w:lvl w:ilvl="0" w:tplc="4D5080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3297AAC"/>
    <w:multiLevelType w:val="hybridMultilevel"/>
    <w:tmpl w:val="E05A8C70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EA8748C"/>
    <w:multiLevelType w:val="hybridMultilevel"/>
    <w:tmpl w:val="AD7627AC"/>
    <w:lvl w:ilvl="0" w:tplc="53E6FED4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C169EB"/>
    <w:multiLevelType w:val="hybridMultilevel"/>
    <w:tmpl w:val="A5FAE40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DA56F8"/>
    <w:multiLevelType w:val="multilevel"/>
    <w:tmpl w:val="040E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5777722"/>
    <w:multiLevelType w:val="multilevel"/>
    <w:tmpl w:val="53D45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970CD3"/>
    <w:multiLevelType w:val="hybridMultilevel"/>
    <w:tmpl w:val="4160632E"/>
    <w:lvl w:ilvl="0" w:tplc="89F62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C2396A"/>
    <w:multiLevelType w:val="hybridMultilevel"/>
    <w:tmpl w:val="BA8AEA3C"/>
    <w:lvl w:ilvl="0" w:tplc="A5D8DF4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1557BD"/>
    <w:multiLevelType w:val="hybridMultilevel"/>
    <w:tmpl w:val="9210D4A4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A686B0B"/>
    <w:multiLevelType w:val="multilevel"/>
    <w:tmpl w:val="407663CE"/>
    <w:lvl w:ilvl="0">
      <w:start w:val="2"/>
      <w:numFmt w:val="decimal"/>
      <w:pStyle w:val="Cmsor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Cmsor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Cmsor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">
    <w:nsid w:val="3D2447A3"/>
    <w:multiLevelType w:val="hybridMultilevel"/>
    <w:tmpl w:val="DD523F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93117C"/>
    <w:multiLevelType w:val="hybridMultilevel"/>
    <w:tmpl w:val="7CB6F162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7D205F"/>
    <w:multiLevelType w:val="hybridMultilevel"/>
    <w:tmpl w:val="4B1CFCC0"/>
    <w:lvl w:ilvl="0" w:tplc="BFB8A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FD6881"/>
    <w:multiLevelType w:val="hybridMultilevel"/>
    <w:tmpl w:val="E9529D8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987518"/>
    <w:multiLevelType w:val="hybridMultilevel"/>
    <w:tmpl w:val="F0B04C5E"/>
    <w:lvl w:ilvl="0" w:tplc="040E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A7238D"/>
    <w:multiLevelType w:val="hybridMultilevel"/>
    <w:tmpl w:val="0128A7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617873"/>
    <w:multiLevelType w:val="hybridMultilevel"/>
    <w:tmpl w:val="312E074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07C18E7"/>
    <w:multiLevelType w:val="multilevel"/>
    <w:tmpl w:val="96AAA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7CC90292"/>
    <w:multiLevelType w:val="hybridMultilevel"/>
    <w:tmpl w:val="C694B6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8"/>
  </w:num>
  <w:num w:numId="4">
    <w:abstractNumId w:val="12"/>
  </w:num>
  <w:num w:numId="5">
    <w:abstractNumId w:val="15"/>
  </w:num>
  <w:num w:numId="6">
    <w:abstractNumId w:val="17"/>
  </w:num>
  <w:num w:numId="7">
    <w:abstractNumId w:val="16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1"/>
  </w:num>
  <w:num w:numId="13">
    <w:abstractNumId w:val="4"/>
  </w:num>
  <w:num w:numId="14">
    <w:abstractNumId w:val="2"/>
  </w:num>
  <w:num w:numId="15">
    <w:abstractNumId w:val="7"/>
  </w:num>
  <w:num w:numId="16">
    <w:abstractNumId w:val="13"/>
  </w:num>
  <w:num w:numId="17">
    <w:abstractNumId w:val="10"/>
    <w:lvlOverride w:ilvl="0">
      <w:startOverride w:val="1"/>
    </w:lvlOverride>
  </w:num>
  <w:num w:numId="18">
    <w:abstractNumId w:val="3"/>
  </w:num>
  <w:num w:numId="19">
    <w:abstractNumId w:val="6"/>
  </w:num>
  <w:num w:numId="20">
    <w:abstractNumId w:val="11"/>
  </w:num>
  <w:num w:numId="21">
    <w:abstractNumId w:val="19"/>
  </w:num>
  <w:num w:numId="22">
    <w:abstractNumId w:val="10"/>
    <w:lvlOverride w:ilvl="0">
      <w:startOverride w:val="2"/>
    </w:lvlOverride>
    <w:lvlOverride w:ilvl="1">
      <w:startOverride w:val="1"/>
    </w:lvlOverride>
  </w:num>
  <w:num w:numId="23">
    <w:abstractNumId w:val="10"/>
    <w:lvlOverride w:ilvl="0">
      <w:startOverride w:val="2"/>
    </w:lvlOverride>
    <w:lvlOverride w:ilvl="1">
      <w:startOverride w:val="1"/>
    </w:lvlOverride>
  </w:num>
  <w:num w:numId="2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25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26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2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2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</w:num>
  <w:num w:numId="30">
    <w:abstractNumId w:val="10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281"/>
    <w:rsid w:val="00002EF8"/>
    <w:rsid w:val="00003600"/>
    <w:rsid w:val="0000380B"/>
    <w:rsid w:val="0000414E"/>
    <w:rsid w:val="000043A4"/>
    <w:rsid w:val="00005053"/>
    <w:rsid w:val="0000532F"/>
    <w:rsid w:val="0000568C"/>
    <w:rsid w:val="000119C8"/>
    <w:rsid w:val="000151D6"/>
    <w:rsid w:val="00020202"/>
    <w:rsid w:val="00020487"/>
    <w:rsid w:val="000221C4"/>
    <w:rsid w:val="00026DF6"/>
    <w:rsid w:val="00027F1B"/>
    <w:rsid w:val="0003145C"/>
    <w:rsid w:val="00032E41"/>
    <w:rsid w:val="00034EE1"/>
    <w:rsid w:val="000354F3"/>
    <w:rsid w:val="00035C88"/>
    <w:rsid w:val="00041798"/>
    <w:rsid w:val="00043195"/>
    <w:rsid w:val="00044510"/>
    <w:rsid w:val="00044535"/>
    <w:rsid w:val="00045521"/>
    <w:rsid w:val="000507C1"/>
    <w:rsid w:val="000531FB"/>
    <w:rsid w:val="000536F0"/>
    <w:rsid w:val="00054500"/>
    <w:rsid w:val="000547C0"/>
    <w:rsid w:val="00054A60"/>
    <w:rsid w:val="000550BA"/>
    <w:rsid w:val="0005649B"/>
    <w:rsid w:val="00056778"/>
    <w:rsid w:val="00057ACB"/>
    <w:rsid w:val="00060C27"/>
    <w:rsid w:val="00061205"/>
    <w:rsid w:val="0006471D"/>
    <w:rsid w:val="0006522B"/>
    <w:rsid w:val="00067BE9"/>
    <w:rsid w:val="00070519"/>
    <w:rsid w:val="00070943"/>
    <w:rsid w:val="00070A73"/>
    <w:rsid w:val="00072A15"/>
    <w:rsid w:val="00072B0D"/>
    <w:rsid w:val="00077B6A"/>
    <w:rsid w:val="00082A58"/>
    <w:rsid w:val="00086180"/>
    <w:rsid w:val="000920B8"/>
    <w:rsid w:val="00092286"/>
    <w:rsid w:val="00096662"/>
    <w:rsid w:val="00097550"/>
    <w:rsid w:val="000A04DE"/>
    <w:rsid w:val="000A2032"/>
    <w:rsid w:val="000A243F"/>
    <w:rsid w:val="000A28DF"/>
    <w:rsid w:val="000A4FAD"/>
    <w:rsid w:val="000A6DFE"/>
    <w:rsid w:val="000B272A"/>
    <w:rsid w:val="000B2CF2"/>
    <w:rsid w:val="000B3260"/>
    <w:rsid w:val="000B7EBB"/>
    <w:rsid w:val="000C0FCE"/>
    <w:rsid w:val="000C1F2D"/>
    <w:rsid w:val="000C4DEC"/>
    <w:rsid w:val="000C4F3D"/>
    <w:rsid w:val="000D39A9"/>
    <w:rsid w:val="000D3DA2"/>
    <w:rsid w:val="000D685A"/>
    <w:rsid w:val="000D6A60"/>
    <w:rsid w:val="000D6E14"/>
    <w:rsid w:val="000D750B"/>
    <w:rsid w:val="000E00A2"/>
    <w:rsid w:val="000E0EB3"/>
    <w:rsid w:val="000E2016"/>
    <w:rsid w:val="000E21BD"/>
    <w:rsid w:val="000E2EC0"/>
    <w:rsid w:val="000E3B39"/>
    <w:rsid w:val="000E3FD3"/>
    <w:rsid w:val="000E6203"/>
    <w:rsid w:val="000F16B6"/>
    <w:rsid w:val="000F1FA7"/>
    <w:rsid w:val="000F4A45"/>
    <w:rsid w:val="000F5D54"/>
    <w:rsid w:val="000F7619"/>
    <w:rsid w:val="001035E1"/>
    <w:rsid w:val="00103D33"/>
    <w:rsid w:val="00110E55"/>
    <w:rsid w:val="00111194"/>
    <w:rsid w:val="001119AF"/>
    <w:rsid w:val="00111C84"/>
    <w:rsid w:val="00113A4C"/>
    <w:rsid w:val="00115560"/>
    <w:rsid w:val="00115650"/>
    <w:rsid w:val="00117231"/>
    <w:rsid w:val="001214E0"/>
    <w:rsid w:val="001215F2"/>
    <w:rsid w:val="00121E1B"/>
    <w:rsid w:val="00121E6C"/>
    <w:rsid w:val="001221A7"/>
    <w:rsid w:val="0012332B"/>
    <w:rsid w:val="001239A9"/>
    <w:rsid w:val="00124D62"/>
    <w:rsid w:val="0012589A"/>
    <w:rsid w:val="00127226"/>
    <w:rsid w:val="00127A05"/>
    <w:rsid w:val="0013057E"/>
    <w:rsid w:val="00132F6E"/>
    <w:rsid w:val="0013624A"/>
    <w:rsid w:val="001363CF"/>
    <w:rsid w:val="00137651"/>
    <w:rsid w:val="001377D5"/>
    <w:rsid w:val="001403A2"/>
    <w:rsid w:val="001417A7"/>
    <w:rsid w:val="00142554"/>
    <w:rsid w:val="00142D2A"/>
    <w:rsid w:val="00143025"/>
    <w:rsid w:val="0014345C"/>
    <w:rsid w:val="0014435E"/>
    <w:rsid w:val="001525BD"/>
    <w:rsid w:val="00152AAD"/>
    <w:rsid w:val="0015338B"/>
    <w:rsid w:val="00153C36"/>
    <w:rsid w:val="00154965"/>
    <w:rsid w:val="001549FC"/>
    <w:rsid w:val="00156D0E"/>
    <w:rsid w:val="00156F76"/>
    <w:rsid w:val="00157855"/>
    <w:rsid w:val="00157C2E"/>
    <w:rsid w:val="00160095"/>
    <w:rsid w:val="001623B7"/>
    <w:rsid w:val="001677B5"/>
    <w:rsid w:val="00167BF5"/>
    <w:rsid w:val="00171A91"/>
    <w:rsid w:val="00171B83"/>
    <w:rsid w:val="00177732"/>
    <w:rsid w:val="0018146F"/>
    <w:rsid w:val="001827C7"/>
    <w:rsid w:val="00182C45"/>
    <w:rsid w:val="00185D74"/>
    <w:rsid w:val="001864D7"/>
    <w:rsid w:val="001864EB"/>
    <w:rsid w:val="00187F37"/>
    <w:rsid w:val="00190519"/>
    <w:rsid w:val="00191899"/>
    <w:rsid w:val="00191C18"/>
    <w:rsid w:val="001920C1"/>
    <w:rsid w:val="001957A9"/>
    <w:rsid w:val="00196711"/>
    <w:rsid w:val="00196CF8"/>
    <w:rsid w:val="001A07F8"/>
    <w:rsid w:val="001A0A9F"/>
    <w:rsid w:val="001A331F"/>
    <w:rsid w:val="001A3B76"/>
    <w:rsid w:val="001A43CC"/>
    <w:rsid w:val="001A4815"/>
    <w:rsid w:val="001A7099"/>
    <w:rsid w:val="001B2730"/>
    <w:rsid w:val="001B2A77"/>
    <w:rsid w:val="001B3856"/>
    <w:rsid w:val="001B6F61"/>
    <w:rsid w:val="001B6FCF"/>
    <w:rsid w:val="001C05C0"/>
    <w:rsid w:val="001C1125"/>
    <w:rsid w:val="001C150E"/>
    <w:rsid w:val="001C17DD"/>
    <w:rsid w:val="001C288D"/>
    <w:rsid w:val="001C2C26"/>
    <w:rsid w:val="001C57E4"/>
    <w:rsid w:val="001C733E"/>
    <w:rsid w:val="001C784F"/>
    <w:rsid w:val="001C7B0B"/>
    <w:rsid w:val="001D258F"/>
    <w:rsid w:val="001D2F13"/>
    <w:rsid w:val="001D51DC"/>
    <w:rsid w:val="001D738E"/>
    <w:rsid w:val="001E42CF"/>
    <w:rsid w:val="001E67FD"/>
    <w:rsid w:val="001E6AF3"/>
    <w:rsid w:val="001F0664"/>
    <w:rsid w:val="001F130F"/>
    <w:rsid w:val="001F2883"/>
    <w:rsid w:val="001F3CC8"/>
    <w:rsid w:val="001F4AEF"/>
    <w:rsid w:val="001F5FE1"/>
    <w:rsid w:val="00200A40"/>
    <w:rsid w:val="0020232B"/>
    <w:rsid w:val="00202589"/>
    <w:rsid w:val="002032F7"/>
    <w:rsid w:val="00213944"/>
    <w:rsid w:val="00213AE0"/>
    <w:rsid w:val="00220620"/>
    <w:rsid w:val="0022125C"/>
    <w:rsid w:val="00223461"/>
    <w:rsid w:val="0022466C"/>
    <w:rsid w:val="00226BD1"/>
    <w:rsid w:val="00230266"/>
    <w:rsid w:val="002340AC"/>
    <w:rsid w:val="00236F86"/>
    <w:rsid w:val="00242696"/>
    <w:rsid w:val="00242B0B"/>
    <w:rsid w:val="00243A05"/>
    <w:rsid w:val="00245F17"/>
    <w:rsid w:val="00254C13"/>
    <w:rsid w:val="002555DB"/>
    <w:rsid w:val="0025595D"/>
    <w:rsid w:val="00262391"/>
    <w:rsid w:val="00267FED"/>
    <w:rsid w:val="00271C69"/>
    <w:rsid w:val="0027236E"/>
    <w:rsid w:val="00272457"/>
    <w:rsid w:val="00273EEF"/>
    <w:rsid w:val="0027410F"/>
    <w:rsid w:val="00277BEB"/>
    <w:rsid w:val="00280123"/>
    <w:rsid w:val="00280E89"/>
    <w:rsid w:val="00281866"/>
    <w:rsid w:val="00282693"/>
    <w:rsid w:val="00285105"/>
    <w:rsid w:val="0028684F"/>
    <w:rsid w:val="002868F4"/>
    <w:rsid w:val="00290060"/>
    <w:rsid w:val="002903D4"/>
    <w:rsid w:val="0029105E"/>
    <w:rsid w:val="002938F9"/>
    <w:rsid w:val="00295079"/>
    <w:rsid w:val="002A196B"/>
    <w:rsid w:val="002A2BA3"/>
    <w:rsid w:val="002A2C2A"/>
    <w:rsid w:val="002A32D1"/>
    <w:rsid w:val="002B2913"/>
    <w:rsid w:val="002B755E"/>
    <w:rsid w:val="002B770B"/>
    <w:rsid w:val="002B79A3"/>
    <w:rsid w:val="002B7B2A"/>
    <w:rsid w:val="002B7E29"/>
    <w:rsid w:val="002C162D"/>
    <w:rsid w:val="002C31F2"/>
    <w:rsid w:val="002C394F"/>
    <w:rsid w:val="002C6E72"/>
    <w:rsid w:val="002C788B"/>
    <w:rsid w:val="002C7E7F"/>
    <w:rsid w:val="002D065D"/>
    <w:rsid w:val="002D19E8"/>
    <w:rsid w:val="002D1A05"/>
    <w:rsid w:val="002D61E2"/>
    <w:rsid w:val="002D6AC7"/>
    <w:rsid w:val="002E034F"/>
    <w:rsid w:val="002E10E7"/>
    <w:rsid w:val="002E1C57"/>
    <w:rsid w:val="002E3E42"/>
    <w:rsid w:val="002E558C"/>
    <w:rsid w:val="002E7FF9"/>
    <w:rsid w:val="002F0BB6"/>
    <w:rsid w:val="002F45AE"/>
    <w:rsid w:val="002F60AD"/>
    <w:rsid w:val="002F6BEF"/>
    <w:rsid w:val="002F6DBC"/>
    <w:rsid w:val="002F6FE0"/>
    <w:rsid w:val="002F74BF"/>
    <w:rsid w:val="002F7F70"/>
    <w:rsid w:val="00300326"/>
    <w:rsid w:val="00303FCC"/>
    <w:rsid w:val="003053F9"/>
    <w:rsid w:val="003064AD"/>
    <w:rsid w:val="00307EFA"/>
    <w:rsid w:val="0031030B"/>
    <w:rsid w:val="00310679"/>
    <w:rsid w:val="00313409"/>
    <w:rsid w:val="00313D26"/>
    <w:rsid w:val="00315DCB"/>
    <w:rsid w:val="00316152"/>
    <w:rsid w:val="00316409"/>
    <w:rsid w:val="0031751D"/>
    <w:rsid w:val="00317989"/>
    <w:rsid w:val="003229E5"/>
    <w:rsid w:val="00322FC1"/>
    <w:rsid w:val="00324719"/>
    <w:rsid w:val="00324D9D"/>
    <w:rsid w:val="00326C10"/>
    <w:rsid w:val="00326F82"/>
    <w:rsid w:val="00327629"/>
    <w:rsid w:val="00331939"/>
    <w:rsid w:val="00333264"/>
    <w:rsid w:val="00333739"/>
    <w:rsid w:val="003365D2"/>
    <w:rsid w:val="003374D9"/>
    <w:rsid w:val="0033778E"/>
    <w:rsid w:val="0034330C"/>
    <w:rsid w:val="00343C42"/>
    <w:rsid w:val="0035140A"/>
    <w:rsid w:val="00352B58"/>
    <w:rsid w:val="00353DB3"/>
    <w:rsid w:val="003550FC"/>
    <w:rsid w:val="00355451"/>
    <w:rsid w:val="00355590"/>
    <w:rsid w:val="003556A4"/>
    <w:rsid w:val="00355DDD"/>
    <w:rsid w:val="003568BF"/>
    <w:rsid w:val="003569B0"/>
    <w:rsid w:val="0035733A"/>
    <w:rsid w:val="00362198"/>
    <w:rsid w:val="00363C01"/>
    <w:rsid w:val="00367644"/>
    <w:rsid w:val="00370072"/>
    <w:rsid w:val="00371339"/>
    <w:rsid w:val="00374D0A"/>
    <w:rsid w:val="00376BED"/>
    <w:rsid w:val="0037789B"/>
    <w:rsid w:val="00383149"/>
    <w:rsid w:val="0038315B"/>
    <w:rsid w:val="00383DFE"/>
    <w:rsid w:val="00385936"/>
    <w:rsid w:val="00385B6C"/>
    <w:rsid w:val="00386FDA"/>
    <w:rsid w:val="00387743"/>
    <w:rsid w:val="00390F0C"/>
    <w:rsid w:val="00392D88"/>
    <w:rsid w:val="00394F22"/>
    <w:rsid w:val="003969A6"/>
    <w:rsid w:val="003972D2"/>
    <w:rsid w:val="003A2E23"/>
    <w:rsid w:val="003A494E"/>
    <w:rsid w:val="003A5CAA"/>
    <w:rsid w:val="003B1495"/>
    <w:rsid w:val="003B19DB"/>
    <w:rsid w:val="003B4129"/>
    <w:rsid w:val="003B6269"/>
    <w:rsid w:val="003B6BE5"/>
    <w:rsid w:val="003C1FF7"/>
    <w:rsid w:val="003C2002"/>
    <w:rsid w:val="003C2A2B"/>
    <w:rsid w:val="003C3EB5"/>
    <w:rsid w:val="003C5533"/>
    <w:rsid w:val="003C558D"/>
    <w:rsid w:val="003C5803"/>
    <w:rsid w:val="003D00DE"/>
    <w:rsid w:val="003D2511"/>
    <w:rsid w:val="003D5BDD"/>
    <w:rsid w:val="003E6972"/>
    <w:rsid w:val="003F2E3B"/>
    <w:rsid w:val="003F60DD"/>
    <w:rsid w:val="003F7AC5"/>
    <w:rsid w:val="003F7EBE"/>
    <w:rsid w:val="00401828"/>
    <w:rsid w:val="00402FB6"/>
    <w:rsid w:val="004043C2"/>
    <w:rsid w:val="00407354"/>
    <w:rsid w:val="00407429"/>
    <w:rsid w:val="004117D0"/>
    <w:rsid w:val="00411EBF"/>
    <w:rsid w:val="00413A74"/>
    <w:rsid w:val="004253F5"/>
    <w:rsid w:val="0042669E"/>
    <w:rsid w:val="004266F4"/>
    <w:rsid w:val="004311D1"/>
    <w:rsid w:val="004314B0"/>
    <w:rsid w:val="00431ED9"/>
    <w:rsid w:val="004355C5"/>
    <w:rsid w:val="00435E5F"/>
    <w:rsid w:val="004361A9"/>
    <w:rsid w:val="0043740D"/>
    <w:rsid w:val="00440645"/>
    <w:rsid w:val="004414A4"/>
    <w:rsid w:val="00441D3A"/>
    <w:rsid w:val="00443A67"/>
    <w:rsid w:val="00444449"/>
    <w:rsid w:val="00444746"/>
    <w:rsid w:val="00445BE0"/>
    <w:rsid w:val="00445E42"/>
    <w:rsid w:val="004478CE"/>
    <w:rsid w:val="00450401"/>
    <w:rsid w:val="0045282F"/>
    <w:rsid w:val="00452E79"/>
    <w:rsid w:val="00453249"/>
    <w:rsid w:val="00453695"/>
    <w:rsid w:val="00453935"/>
    <w:rsid w:val="0045408A"/>
    <w:rsid w:val="00454260"/>
    <w:rsid w:val="00454EB2"/>
    <w:rsid w:val="00456E5F"/>
    <w:rsid w:val="00457CB1"/>
    <w:rsid w:val="00460B14"/>
    <w:rsid w:val="0046248E"/>
    <w:rsid w:val="00463367"/>
    <w:rsid w:val="00464057"/>
    <w:rsid w:val="00465D43"/>
    <w:rsid w:val="00470EDA"/>
    <w:rsid w:val="00471A42"/>
    <w:rsid w:val="00475B50"/>
    <w:rsid w:val="00480A80"/>
    <w:rsid w:val="00480CFC"/>
    <w:rsid w:val="004848DD"/>
    <w:rsid w:val="00486AFF"/>
    <w:rsid w:val="0049598D"/>
    <w:rsid w:val="00496F20"/>
    <w:rsid w:val="0049727C"/>
    <w:rsid w:val="004A047A"/>
    <w:rsid w:val="004A0B7E"/>
    <w:rsid w:val="004A316E"/>
    <w:rsid w:val="004A70A6"/>
    <w:rsid w:val="004B0977"/>
    <w:rsid w:val="004B1CE0"/>
    <w:rsid w:val="004B4AAE"/>
    <w:rsid w:val="004B56D2"/>
    <w:rsid w:val="004B58EA"/>
    <w:rsid w:val="004B7A78"/>
    <w:rsid w:val="004C4AAD"/>
    <w:rsid w:val="004C4AB2"/>
    <w:rsid w:val="004C7C50"/>
    <w:rsid w:val="004D12F7"/>
    <w:rsid w:val="004D14B2"/>
    <w:rsid w:val="004D14C8"/>
    <w:rsid w:val="004D4464"/>
    <w:rsid w:val="004D45C0"/>
    <w:rsid w:val="004D7712"/>
    <w:rsid w:val="004E0315"/>
    <w:rsid w:val="004E0478"/>
    <w:rsid w:val="004E278E"/>
    <w:rsid w:val="004E28C7"/>
    <w:rsid w:val="004E3545"/>
    <w:rsid w:val="004E45DF"/>
    <w:rsid w:val="004E5688"/>
    <w:rsid w:val="004F031C"/>
    <w:rsid w:val="004F0C55"/>
    <w:rsid w:val="004F1EC0"/>
    <w:rsid w:val="004F6B3E"/>
    <w:rsid w:val="004F6EC3"/>
    <w:rsid w:val="005003D6"/>
    <w:rsid w:val="005006A8"/>
    <w:rsid w:val="005007E6"/>
    <w:rsid w:val="005020F6"/>
    <w:rsid w:val="00503705"/>
    <w:rsid w:val="00504F32"/>
    <w:rsid w:val="005059C2"/>
    <w:rsid w:val="00505C0D"/>
    <w:rsid w:val="00515C90"/>
    <w:rsid w:val="00517832"/>
    <w:rsid w:val="00521012"/>
    <w:rsid w:val="00524BF2"/>
    <w:rsid w:val="00525527"/>
    <w:rsid w:val="00531B2C"/>
    <w:rsid w:val="0053372A"/>
    <w:rsid w:val="00533797"/>
    <w:rsid w:val="005359C8"/>
    <w:rsid w:val="00535FD9"/>
    <w:rsid w:val="005419D9"/>
    <w:rsid w:val="00542626"/>
    <w:rsid w:val="00543541"/>
    <w:rsid w:val="0054491D"/>
    <w:rsid w:val="00544A9F"/>
    <w:rsid w:val="00545975"/>
    <w:rsid w:val="005501D8"/>
    <w:rsid w:val="005504A1"/>
    <w:rsid w:val="00550B3D"/>
    <w:rsid w:val="00553F48"/>
    <w:rsid w:val="00560116"/>
    <w:rsid w:val="005606C8"/>
    <w:rsid w:val="005614AE"/>
    <w:rsid w:val="00561C0D"/>
    <w:rsid w:val="00562A93"/>
    <w:rsid w:val="0056335F"/>
    <w:rsid w:val="005638F0"/>
    <w:rsid w:val="0056570B"/>
    <w:rsid w:val="00565AE8"/>
    <w:rsid w:val="0057061D"/>
    <w:rsid w:val="00570BFF"/>
    <w:rsid w:val="00572B07"/>
    <w:rsid w:val="005740E3"/>
    <w:rsid w:val="0057536C"/>
    <w:rsid w:val="005764E5"/>
    <w:rsid w:val="00576FF3"/>
    <w:rsid w:val="0058261E"/>
    <w:rsid w:val="00583E8E"/>
    <w:rsid w:val="00584F30"/>
    <w:rsid w:val="00586781"/>
    <w:rsid w:val="005915F1"/>
    <w:rsid w:val="005920CD"/>
    <w:rsid w:val="00593CF2"/>
    <w:rsid w:val="00593F7C"/>
    <w:rsid w:val="00595C65"/>
    <w:rsid w:val="005A10B1"/>
    <w:rsid w:val="005A1834"/>
    <w:rsid w:val="005A1D51"/>
    <w:rsid w:val="005A1F25"/>
    <w:rsid w:val="005A240E"/>
    <w:rsid w:val="005A4305"/>
    <w:rsid w:val="005A48FB"/>
    <w:rsid w:val="005A7623"/>
    <w:rsid w:val="005B24FE"/>
    <w:rsid w:val="005B2C3F"/>
    <w:rsid w:val="005B3B53"/>
    <w:rsid w:val="005B520E"/>
    <w:rsid w:val="005B5876"/>
    <w:rsid w:val="005B67E3"/>
    <w:rsid w:val="005B7724"/>
    <w:rsid w:val="005B7748"/>
    <w:rsid w:val="005C2239"/>
    <w:rsid w:val="005C6C8E"/>
    <w:rsid w:val="005D0EC5"/>
    <w:rsid w:val="005D4B6E"/>
    <w:rsid w:val="005D6294"/>
    <w:rsid w:val="005E103B"/>
    <w:rsid w:val="005F053D"/>
    <w:rsid w:val="005F1B14"/>
    <w:rsid w:val="005F1C88"/>
    <w:rsid w:val="005F39F6"/>
    <w:rsid w:val="005F5E8A"/>
    <w:rsid w:val="005F6D1D"/>
    <w:rsid w:val="005F6E32"/>
    <w:rsid w:val="00600EA4"/>
    <w:rsid w:val="00603929"/>
    <w:rsid w:val="006076E5"/>
    <w:rsid w:val="0061100A"/>
    <w:rsid w:val="006110DD"/>
    <w:rsid w:val="006117FE"/>
    <w:rsid w:val="0061343B"/>
    <w:rsid w:val="00613D85"/>
    <w:rsid w:val="00613FB6"/>
    <w:rsid w:val="0061614E"/>
    <w:rsid w:val="006174E1"/>
    <w:rsid w:val="006205A3"/>
    <w:rsid w:val="00620AA5"/>
    <w:rsid w:val="00623B51"/>
    <w:rsid w:val="00625922"/>
    <w:rsid w:val="006263C7"/>
    <w:rsid w:val="00626B52"/>
    <w:rsid w:val="00626E6D"/>
    <w:rsid w:val="00630979"/>
    <w:rsid w:val="00632385"/>
    <w:rsid w:val="0063467A"/>
    <w:rsid w:val="006363B0"/>
    <w:rsid w:val="00637DE4"/>
    <w:rsid w:val="0064019A"/>
    <w:rsid w:val="006409F0"/>
    <w:rsid w:val="00641BEC"/>
    <w:rsid w:val="00642C51"/>
    <w:rsid w:val="0064463C"/>
    <w:rsid w:val="00644F25"/>
    <w:rsid w:val="00645251"/>
    <w:rsid w:val="006520EE"/>
    <w:rsid w:val="006538A1"/>
    <w:rsid w:val="00654601"/>
    <w:rsid w:val="00655FA9"/>
    <w:rsid w:val="00662346"/>
    <w:rsid w:val="00662F8F"/>
    <w:rsid w:val="00663785"/>
    <w:rsid w:val="006645FE"/>
    <w:rsid w:val="006646C3"/>
    <w:rsid w:val="00666B24"/>
    <w:rsid w:val="00666D3C"/>
    <w:rsid w:val="006714A3"/>
    <w:rsid w:val="00671609"/>
    <w:rsid w:val="006716F0"/>
    <w:rsid w:val="00672D10"/>
    <w:rsid w:val="006751A1"/>
    <w:rsid w:val="00675A54"/>
    <w:rsid w:val="006764FF"/>
    <w:rsid w:val="0068597E"/>
    <w:rsid w:val="00692795"/>
    <w:rsid w:val="00694E55"/>
    <w:rsid w:val="00695F49"/>
    <w:rsid w:val="006A04CB"/>
    <w:rsid w:val="006A0845"/>
    <w:rsid w:val="006A18BC"/>
    <w:rsid w:val="006A1B1B"/>
    <w:rsid w:val="006A3162"/>
    <w:rsid w:val="006A4BAD"/>
    <w:rsid w:val="006A68FB"/>
    <w:rsid w:val="006B1E07"/>
    <w:rsid w:val="006B2CD7"/>
    <w:rsid w:val="006B53E9"/>
    <w:rsid w:val="006B5EF2"/>
    <w:rsid w:val="006B6AB2"/>
    <w:rsid w:val="006B6BE2"/>
    <w:rsid w:val="006C0763"/>
    <w:rsid w:val="006C08BA"/>
    <w:rsid w:val="006C502E"/>
    <w:rsid w:val="006C5A2A"/>
    <w:rsid w:val="006C7F63"/>
    <w:rsid w:val="006D056A"/>
    <w:rsid w:val="006D0989"/>
    <w:rsid w:val="006D482F"/>
    <w:rsid w:val="006D56BE"/>
    <w:rsid w:val="006D60EC"/>
    <w:rsid w:val="006D75E7"/>
    <w:rsid w:val="006E0B1F"/>
    <w:rsid w:val="006E32F1"/>
    <w:rsid w:val="006E49E4"/>
    <w:rsid w:val="006E744D"/>
    <w:rsid w:val="006F2196"/>
    <w:rsid w:val="006F2B28"/>
    <w:rsid w:val="006F2CCC"/>
    <w:rsid w:val="006F42D8"/>
    <w:rsid w:val="006F4316"/>
    <w:rsid w:val="006F49FC"/>
    <w:rsid w:val="006F59A9"/>
    <w:rsid w:val="006F5E4C"/>
    <w:rsid w:val="006F6FB8"/>
    <w:rsid w:val="007009F3"/>
    <w:rsid w:val="00700AF0"/>
    <w:rsid w:val="00700D79"/>
    <w:rsid w:val="00700EE2"/>
    <w:rsid w:val="0070437C"/>
    <w:rsid w:val="00705D66"/>
    <w:rsid w:val="00710E87"/>
    <w:rsid w:val="007116BF"/>
    <w:rsid w:val="007159A4"/>
    <w:rsid w:val="00720098"/>
    <w:rsid w:val="00721306"/>
    <w:rsid w:val="00725462"/>
    <w:rsid w:val="007255B6"/>
    <w:rsid w:val="0072566D"/>
    <w:rsid w:val="00726052"/>
    <w:rsid w:val="00731034"/>
    <w:rsid w:val="00731EBC"/>
    <w:rsid w:val="0073335D"/>
    <w:rsid w:val="00734B59"/>
    <w:rsid w:val="0073541E"/>
    <w:rsid w:val="00737E38"/>
    <w:rsid w:val="00740C9A"/>
    <w:rsid w:val="00741260"/>
    <w:rsid w:val="007428ED"/>
    <w:rsid w:val="007443EC"/>
    <w:rsid w:val="00747EC3"/>
    <w:rsid w:val="007532AE"/>
    <w:rsid w:val="00754520"/>
    <w:rsid w:val="007556A3"/>
    <w:rsid w:val="00756B41"/>
    <w:rsid w:val="00761A47"/>
    <w:rsid w:val="00761B38"/>
    <w:rsid w:val="0076222A"/>
    <w:rsid w:val="0076400E"/>
    <w:rsid w:val="00764979"/>
    <w:rsid w:val="00765E1B"/>
    <w:rsid w:val="007662AA"/>
    <w:rsid w:val="00766FF2"/>
    <w:rsid w:val="007703D2"/>
    <w:rsid w:val="00770CF8"/>
    <w:rsid w:val="00771146"/>
    <w:rsid w:val="007741E7"/>
    <w:rsid w:val="00774871"/>
    <w:rsid w:val="0077491C"/>
    <w:rsid w:val="00775F62"/>
    <w:rsid w:val="00777BD7"/>
    <w:rsid w:val="0078103E"/>
    <w:rsid w:val="00781C6F"/>
    <w:rsid w:val="00784390"/>
    <w:rsid w:val="007870B0"/>
    <w:rsid w:val="00787F16"/>
    <w:rsid w:val="00787F96"/>
    <w:rsid w:val="00787FA1"/>
    <w:rsid w:val="00790CE9"/>
    <w:rsid w:val="00792DDA"/>
    <w:rsid w:val="00794047"/>
    <w:rsid w:val="00794A00"/>
    <w:rsid w:val="00794D87"/>
    <w:rsid w:val="00795B45"/>
    <w:rsid w:val="00797496"/>
    <w:rsid w:val="007974E3"/>
    <w:rsid w:val="007A0296"/>
    <w:rsid w:val="007A1A14"/>
    <w:rsid w:val="007A1F6F"/>
    <w:rsid w:val="007A7080"/>
    <w:rsid w:val="007A7F84"/>
    <w:rsid w:val="007B25E9"/>
    <w:rsid w:val="007B2C0F"/>
    <w:rsid w:val="007B3CDB"/>
    <w:rsid w:val="007C19B4"/>
    <w:rsid w:val="007C1F90"/>
    <w:rsid w:val="007C3D52"/>
    <w:rsid w:val="007C662A"/>
    <w:rsid w:val="007C6966"/>
    <w:rsid w:val="007C6A21"/>
    <w:rsid w:val="007D467A"/>
    <w:rsid w:val="007D48CD"/>
    <w:rsid w:val="007E0F98"/>
    <w:rsid w:val="007E1EBA"/>
    <w:rsid w:val="007E4691"/>
    <w:rsid w:val="007E71FC"/>
    <w:rsid w:val="007F1F3C"/>
    <w:rsid w:val="007F4D03"/>
    <w:rsid w:val="007F5A26"/>
    <w:rsid w:val="007F6F85"/>
    <w:rsid w:val="007F7A3C"/>
    <w:rsid w:val="007F7E77"/>
    <w:rsid w:val="008019F4"/>
    <w:rsid w:val="00803575"/>
    <w:rsid w:val="00807441"/>
    <w:rsid w:val="008146F5"/>
    <w:rsid w:val="00814ABC"/>
    <w:rsid w:val="00816389"/>
    <w:rsid w:val="008176FD"/>
    <w:rsid w:val="008204F0"/>
    <w:rsid w:val="00821320"/>
    <w:rsid w:val="008241D8"/>
    <w:rsid w:val="008248CA"/>
    <w:rsid w:val="00824D1B"/>
    <w:rsid w:val="0083029F"/>
    <w:rsid w:val="0083181E"/>
    <w:rsid w:val="00831F04"/>
    <w:rsid w:val="00834DFE"/>
    <w:rsid w:val="00836F8E"/>
    <w:rsid w:val="0084068B"/>
    <w:rsid w:val="00842556"/>
    <w:rsid w:val="00843BD9"/>
    <w:rsid w:val="0084486E"/>
    <w:rsid w:val="008448F3"/>
    <w:rsid w:val="00850E61"/>
    <w:rsid w:val="0085593B"/>
    <w:rsid w:val="00855DAD"/>
    <w:rsid w:val="00860348"/>
    <w:rsid w:val="00864000"/>
    <w:rsid w:val="008714D1"/>
    <w:rsid w:val="00871AE0"/>
    <w:rsid w:val="008726F9"/>
    <w:rsid w:val="008735FB"/>
    <w:rsid w:val="00873D60"/>
    <w:rsid w:val="008744BC"/>
    <w:rsid w:val="008778E4"/>
    <w:rsid w:val="008800B2"/>
    <w:rsid w:val="00880371"/>
    <w:rsid w:val="00880A15"/>
    <w:rsid w:val="00881ED4"/>
    <w:rsid w:val="00882467"/>
    <w:rsid w:val="00883F45"/>
    <w:rsid w:val="0088604D"/>
    <w:rsid w:val="008941D7"/>
    <w:rsid w:val="00894BDA"/>
    <w:rsid w:val="00896D9E"/>
    <w:rsid w:val="00896FC2"/>
    <w:rsid w:val="008A0256"/>
    <w:rsid w:val="008A330F"/>
    <w:rsid w:val="008A5968"/>
    <w:rsid w:val="008A6366"/>
    <w:rsid w:val="008B0244"/>
    <w:rsid w:val="008B1F30"/>
    <w:rsid w:val="008B201C"/>
    <w:rsid w:val="008B4C4E"/>
    <w:rsid w:val="008B6BB4"/>
    <w:rsid w:val="008B761A"/>
    <w:rsid w:val="008C0E8A"/>
    <w:rsid w:val="008C687E"/>
    <w:rsid w:val="008D13DD"/>
    <w:rsid w:val="008D1528"/>
    <w:rsid w:val="008D4A14"/>
    <w:rsid w:val="008D661A"/>
    <w:rsid w:val="008D7E22"/>
    <w:rsid w:val="008E01E0"/>
    <w:rsid w:val="008E0B52"/>
    <w:rsid w:val="008E5804"/>
    <w:rsid w:val="008E76BE"/>
    <w:rsid w:val="008E7C67"/>
    <w:rsid w:val="008F4B84"/>
    <w:rsid w:val="008F59D3"/>
    <w:rsid w:val="008F726F"/>
    <w:rsid w:val="009018BD"/>
    <w:rsid w:val="00905B5D"/>
    <w:rsid w:val="00910269"/>
    <w:rsid w:val="00911F01"/>
    <w:rsid w:val="00913242"/>
    <w:rsid w:val="00914511"/>
    <w:rsid w:val="00916F1C"/>
    <w:rsid w:val="00917AA7"/>
    <w:rsid w:val="00917EDE"/>
    <w:rsid w:val="009358BF"/>
    <w:rsid w:val="00935D91"/>
    <w:rsid w:val="00936572"/>
    <w:rsid w:val="0093767A"/>
    <w:rsid w:val="00941BF7"/>
    <w:rsid w:val="00941DE1"/>
    <w:rsid w:val="009454A0"/>
    <w:rsid w:val="009479A4"/>
    <w:rsid w:val="00947A5B"/>
    <w:rsid w:val="00950B6E"/>
    <w:rsid w:val="009516F7"/>
    <w:rsid w:val="00952688"/>
    <w:rsid w:val="0095472B"/>
    <w:rsid w:val="00954A68"/>
    <w:rsid w:val="0095632E"/>
    <w:rsid w:val="00956E8A"/>
    <w:rsid w:val="0095752B"/>
    <w:rsid w:val="00957CF1"/>
    <w:rsid w:val="00962A24"/>
    <w:rsid w:val="00962CB7"/>
    <w:rsid w:val="0096453E"/>
    <w:rsid w:val="00965B17"/>
    <w:rsid w:val="00966804"/>
    <w:rsid w:val="00966908"/>
    <w:rsid w:val="00967663"/>
    <w:rsid w:val="009702B7"/>
    <w:rsid w:val="00975FFB"/>
    <w:rsid w:val="00976C41"/>
    <w:rsid w:val="00982A57"/>
    <w:rsid w:val="009856B7"/>
    <w:rsid w:val="009860FA"/>
    <w:rsid w:val="00990792"/>
    <w:rsid w:val="00992519"/>
    <w:rsid w:val="00993B84"/>
    <w:rsid w:val="00995580"/>
    <w:rsid w:val="009A203D"/>
    <w:rsid w:val="009A218E"/>
    <w:rsid w:val="009A7D34"/>
    <w:rsid w:val="009B0DF4"/>
    <w:rsid w:val="009B25C7"/>
    <w:rsid w:val="009B2729"/>
    <w:rsid w:val="009B2F77"/>
    <w:rsid w:val="009B41DF"/>
    <w:rsid w:val="009B435D"/>
    <w:rsid w:val="009B456D"/>
    <w:rsid w:val="009B5605"/>
    <w:rsid w:val="009B7AC8"/>
    <w:rsid w:val="009C03A4"/>
    <w:rsid w:val="009C62EF"/>
    <w:rsid w:val="009C6390"/>
    <w:rsid w:val="009C7203"/>
    <w:rsid w:val="009D0B30"/>
    <w:rsid w:val="009D3775"/>
    <w:rsid w:val="009D3B55"/>
    <w:rsid w:val="009D6C1E"/>
    <w:rsid w:val="009E006F"/>
    <w:rsid w:val="009E02C2"/>
    <w:rsid w:val="009E0834"/>
    <w:rsid w:val="009E2558"/>
    <w:rsid w:val="009E2E64"/>
    <w:rsid w:val="009E3C94"/>
    <w:rsid w:val="009F076D"/>
    <w:rsid w:val="009F21DD"/>
    <w:rsid w:val="009F31E3"/>
    <w:rsid w:val="009F5A9A"/>
    <w:rsid w:val="009F73CE"/>
    <w:rsid w:val="00A02C2C"/>
    <w:rsid w:val="00A02D58"/>
    <w:rsid w:val="00A02D9E"/>
    <w:rsid w:val="00A03D61"/>
    <w:rsid w:val="00A0739A"/>
    <w:rsid w:val="00A1241F"/>
    <w:rsid w:val="00A12A7E"/>
    <w:rsid w:val="00A13807"/>
    <w:rsid w:val="00A13C23"/>
    <w:rsid w:val="00A172D2"/>
    <w:rsid w:val="00A17803"/>
    <w:rsid w:val="00A22166"/>
    <w:rsid w:val="00A23057"/>
    <w:rsid w:val="00A33220"/>
    <w:rsid w:val="00A34BD3"/>
    <w:rsid w:val="00A37870"/>
    <w:rsid w:val="00A402CA"/>
    <w:rsid w:val="00A435D6"/>
    <w:rsid w:val="00A43FD6"/>
    <w:rsid w:val="00A459AE"/>
    <w:rsid w:val="00A508CE"/>
    <w:rsid w:val="00A50EA4"/>
    <w:rsid w:val="00A51B09"/>
    <w:rsid w:val="00A51F65"/>
    <w:rsid w:val="00A529F6"/>
    <w:rsid w:val="00A55E26"/>
    <w:rsid w:val="00A61CCE"/>
    <w:rsid w:val="00A6432D"/>
    <w:rsid w:val="00A65345"/>
    <w:rsid w:val="00A653D6"/>
    <w:rsid w:val="00A666F4"/>
    <w:rsid w:val="00A67DD6"/>
    <w:rsid w:val="00A71CC3"/>
    <w:rsid w:val="00A727B6"/>
    <w:rsid w:val="00A761B7"/>
    <w:rsid w:val="00A77F97"/>
    <w:rsid w:val="00A804AE"/>
    <w:rsid w:val="00A824A7"/>
    <w:rsid w:val="00A826D8"/>
    <w:rsid w:val="00A8752A"/>
    <w:rsid w:val="00A9033F"/>
    <w:rsid w:val="00A909D6"/>
    <w:rsid w:val="00A90B8F"/>
    <w:rsid w:val="00A94490"/>
    <w:rsid w:val="00A94786"/>
    <w:rsid w:val="00A94D0E"/>
    <w:rsid w:val="00A97676"/>
    <w:rsid w:val="00A97B70"/>
    <w:rsid w:val="00AA0010"/>
    <w:rsid w:val="00AA507D"/>
    <w:rsid w:val="00AA6E55"/>
    <w:rsid w:val="00AB43B7"/>
    <w:rsid w:val="00AB5482"/>
    <w:rsid w:val="00AC20F1"/>
    <w:rsid w:val="00AC30B9"/>
    <w:rsid w:val="00AC5873"/>
    <w:rsid w:val="00AC58AE"/>
    <w:rsid w:val="00AC6A52"/>
    <w:rsid w:val="00AD1C1C"/>
    <w:rsid w:val="00AF13BC"/>
    <w:rsid w:val="00AF1FEE"/>
    <w:rsid w:val="00AF60C8"/>
    <w:rsid w:val="00AF6154"/>
    <w:rsid w:val="00AF72E1"/>
    <w:rsid w:val="00AF7CF3"/>
    <w:rsid w:val="00B0230D"/>
    <w:rsid w:val="00B05236"/>
    <w:rsid w:val="00B072F4"/>
    <w:rsid w:val="00B1040E"/>
    <w:rsid w:val="00B10CFB"/>
    <w:rsid w:val="00B11B0C"/>
    <w:rsid w:val="00B138CC"/>
    <w:rsid w:val="00B16C9B"/>
    <w:rsid w:val="00B171E7"/>
    <w:rsid w:val="00B20645"/>
    <w:rsid w:val="00B20742"/>
    <w:rsid w:val="00B2188D"/>
    <w:rsid w:val="00B22729"/>
    <w:rsid w:val="00B22D09"/>
    <w:rsid w:val="00B26300"/>
    <w:rsid w:val="00B33AE8"/>
    <w:rsid w:val="00B359D3"/>
    <w:rsid w:val="00B35A4C"/>
    <w:rsid w:val="00B43B71"/>
    <w:rsid w:val="00B43CCA"/>
    <w:rsid w:val="00B4522C"/>
    <w:rsid w:val="00B465EC"/>
    <w:rsid w:val="00B55631"/>
    <w:rsid w:val="00B55C69"/>
    <w:rsid w:val="00B56C29"/>
    <w:rsid w:val="00B573C3"/>
    <w:rsid w:val="00B60D34"/>
    <w:rsid w:val="00B635C5"/>
    <w:rsid w:val="00B63982"/>
    <w:rsid w:val="00B64C56"/>
    <w:rsid w:val="00B64E4C"/>
    <w:rsid w:val="00B67A5F"/>
    <w:rsid w:val="00B67B68"/>
    <w:rsid w:val="00B67B79"/>
    <w:rsid w:val="00B71E05"/>
    <w:rsid w:val="00B746C4"/>
    <w:rsid w:val="00B74922"/>
    <w:rsid w:val="00B7495B"/>
    <w:rsid w:val="00B7639E"/>
    <w:rsid w:val="00B800DA"/>
    <w:rsid w:val="00B80789"/>
    <w:rsid w:val="00B80DA9"/>
    <w:rsid w:val="00B8616C"/>
    <w:rsid w:val="00B90D10"/>
    <w:rsid w:val="00B940C3"/>
    <w:rsid w:val="00B958D0"/>
    <w:rsid w:val="00B96103"/>
    <w:rsid w:val="00B96446"/>
    <w:rsid w:val="00B9676B"/>
    <w:rsid w:val="00B974CB"/>
    <w:rsid w:val="00BA0B7B"/>
    <w:rsid w:val="00BA1C25"/>
    <w:rsid w:val="00BA1E31"/>
    <w:rsid w:val="00BA1F87"/>
    <w:rsid w:val="00BA498E"/>
    <w:rsid w:val="00BA52D3"/>
    <w:rsid w:val="00BA55F7"/>
    <w:rsid w:val="00BA5722"/>
    <w:rsid w:val="00BB0ED2"/>
    <w:rsid w:val="00BB0EF9"/>
    <w:rsid w:val="00BB1F51"/>
    <w:rsid w:val="00BB3DA8"/>
    <w:rsid w:val="00BB5F30"/>
    <w:rsid w:val="00BB7435"/>
    <w:rsid w:val="00BC0416"/>
    <w:rsid w:val="00BC0A6D"/>
    <w:rsid w:val="00BC17C5"/>
    <w:rsid w:val="00BC2845"/>
    <w:rsid w:val="00BC44EB"/>
    <w:rsid w:val="00BC492C"/>
    <w:rsid w:val="00BC70CC"/>
    <w:rsid w:val="00BC7812"/>
    <w:rsid w:val="00BC7FA7"/>
    <w:rsid w:val="00BD1336"/>
    <w:rsid w:val="00BD1C6F"/>
    <w:rsid w:val="00BD6DA3"/>
    <w:rsid w:val="00BD7D7F"/>
    <w:rsid w:val="00BE052E"/>
    <w:rsid w:val="00BE219E"/>
    <w:rsid w:val="00BE269E"/>
    <w:rsid w:val="00BE7E45"/>
    <w:rsid w:val="00BF1144"/>
    <w:rsid w:val="00BF3253"/>
    <w:rsid w:val="00BF63A8"/>
    <w:rsid w:val="00C03D98"/>
    <w:rsid w:val="00C057D4"/>
    <w:rsid w:val="00C0635F"/>
    <w:rsid w:val="00C06567"/>
    <w:rsid w:val="00C0682C"/>
    <w:rsid w:val="00C1292D"/>
    <w:rsid w:val="00C12950"/>
    <w:rsid w:val="00C12BE8"/>
    <w:rsid w:val="00C1404C"/>
    <w:rsid w:val="00C14E4D"/>
    <w:rsid w:val="00C163D1"/>
    <w:rsid w:val="00C16556"/>
    <w:rsid w:val="00C17743"/>
    <w:rsid w:val="00C20B82"/>
    <w:rsid w:val="00C20D39"/>
    <w:rsid w:val="00C230C2"/>
    <w:rsid w:val="00C272C1"/>
    <w:rsid w:val="00C3065E"/>
    <w:rsid w:val="00C31167"/>
    <w:rsid w:val="00C32409"/>
    <w:rsid w:val="00C33786"/>
    <w:rsid w:val="00C339B5"/>
    <w:rsid w:val="00C352D5"/>
    <w:rsid w:val="00C35DE3"/>
    <w:rsid w:val="00C36B31"/>
    <w:rsid w:val="00C411A1"/>
    <w:rsid w:val="00C42B4F"/>
    <w:rsid w:val="00C44081"/>
    <w:rsid w:val="00C45937"/>
    <w:rsid w:val="00C52E70"/>
    <w:rsid w:val="00C57A79"/>
    <w:rsid w:val="00C65E8E"/>
    <w:rsid w:val="00C66C7A"/>
    <w:rsid w:val="00C67361"/>
    <w:rsid w:val="00C67A0E"/>
    <w:rsid w:val="00C700A8"/>
    <w:rsid w:val="00C733BA"/>
    <w:rsid w:val="00C74E96"/>
    <w:rsid w:val="00C760FE"/>
    <w:rsid w:val="00C76EED"/>
    <w:rsid w:val="00C80C75"/>
    <w:rsid w:val="00C82D76"/>
    <w:rsid w:val="00C844BB"/>
    <w:rsid w:val="00C84987"/>
    <w:rsid w:val="00C86448"/>
    <w:rsid w:val="00C87293"/>
    <w:rsid w:val="00C903CC"/>
    <w:rsid w:val="00C90E0F"/>
    <w:rsid w:val="00C917E8"/>
    <w:rsid w:val="00C92F94"/>
    <w:rsid w:val="00C93A28"/>
    <w:rsid w:val="00C94519"/>
    <w:rsid w:val="00C94A95"/>
    <w:rsid w:val="00C94CF1"/>
    <w:rsid w:val="00C94D7C"/>
    <w:rsid w:val="00C971B0"/>
    <w:rsid w:val="00C9743C"/>
    <w:rsid w:val="00C9770F"/>
    <w:rsid w:val="00C9792B"/>
    <w:rsid w:val="00CA4FE3"/>
    <w:rsid w:val="00CA7BE0"/>
    <w:rsid w:val="00CA7D47"/>
    <w:rsid w:val="00CB2215"/>
    <w:rsid w:val="00CB2783"/>
    <w:rsid w:val="00CB27A5"/>
    <w:rsid w:val="00CB6321"/>
    <w:rsid w:val="00CC18A7"/>
    <w:rsid w:val="00CD28D8"/>
    <w:rsid w:val="00CD397E"/>
    <w:rsid w:val="00CD632D"/>
    <w:rsid w:val="00CD6C51"/>
    <w:rsid w:val="00CE0AF5"/>
    <w:rsid w:val="00CE14F2"/>
    <w:rsid w:val="00CE2750"/>
    <w:rsid w:val="00CE3022"/>
    <w:rsid w:val="00CE3AFA"/>
    <w:rsid w:val="00CE6E0B"/>
    <w:rsid w:val="00CF282E"/>
    <w:rsid w:val="00CF2FA2"/>
    <w:rsid w:val="00CF6C65"/>
    <w:rsid w:val="00D0038A"/>
    <w:rsid w:val="00D03B94"/>
    <w:rsid w:val="00D03BEC"/>
    <w:rsid w:val="00D05B1D"/>
    <w:rsid w:val="00D0623F"/>
    <w:rsid w:val="00D11D74"/>
    <w:rsid w:val="00D12DB7"/>
    <w:rsid w:val="00D13E16"/>
    <w:rsid w:val="00D15302"/>
    <w:rsid w:val="00D15E23"/>
    <w:rsid w:val="00D1665C"/>
    <w:rsid w:val="00D17384"/>
    <w:rsid w:val="00D20447"/>
    <w:rsid w:val="00D20B62"/>
    <w:rsid w:val="00D223BA"/>
    <w:rsid w:val="00D2468E"/>
    <w:rsid w:val="00D25B74"/>
    <w:rsid w:val="00D308C0"/>
    <w:rsid w:val="00D3261C"/>
    <w:rsid w:val="00D345E5"/>
    <w:rsid w:val="00D3484E"/>
    <w:rsid w:val="00D34D1F"/>
    <w:rsid w:val="00D41E11"/>
    <w:rsid w:val="00D45617"/>
    <w:rsid w:val="00D467AD"/>
    <w:rsid w:val="00D5194D"/>
    <w:rsid w:val="00D53300"/>
    <w:rsid w:val="00D56CB3"/>
    <w:rsid w:val="00D57EBD"/>
    <w:rsid w:val="00D57FAE"/>
    <w:rsid w:val="00D6688A"/>
    <w:rsid w:val="00D701B0"/>
    <w:rsid w:val="00D71AC6"/>
    <w:rsid w:val="00D72CD9"/>
    <w:rsid w:val="00D72CFE"/>
    <w:rsid w:val="00D7329C"/>
    <w:rsid w:val="00D74C77"/>
    <w:rsid w:val="00D754F3"/>
    <w:rsid w:val="00D75681"/>
    <w:rsid w:val="00D76ED1"/>
    <w:rsid w:val="00D77441"/>
    <w:rsid w:val="00D83732"/>
    <w:rsid w:val="00D87A27"/>
    <w:rsid w:val="00D90B49"/>
    <w:rsid w:val="00D9238F"/>
    <w:rsid w:val="00D926F8"/>
    <w:rsid w:val="00D95338"/>
    <w:rsid w:val="00D95BFF"/>
    <w:rsid w:val="00D96DF5"/>
    <w:rsid w:val="00D97E7F"/>
    <w:rsid w:val="00DA2652"/>
    <w:rsid w:val="00DA3F95"/>
    <w:rsid w:val="00DB1D40"/>
    <w:rsid w:val="00DB462D"/>
    <w:rsid w:val="00DB6696"/>
    <w:rsid w:val="00DC14F8"/>
    <w:rsid w:val="00DC381D"/>
    <w:rsid w:val="00DC62C5"/>
    <w:rsid w:val="00DC6980"/>
    <w:rsid w:val="00DC6AEB"/>
    <w:rsid w:val="00DC7766"/>
    <w:rsid w:val="00DD11A6"/>
    <w:rsid w:val="00DD26B6"/>
    <w:rsid w:val="00DD5617"/>
    <w:rsid w:val="00DE56F4"/>
    <w:rsid w:val="00DE5E68"/>
    <w:rsid w:val="00DF2874"/>
    <w:rsid w:val="00DF3708"/>
    <w:rsid w:val="00DF39F0"/>
    <w:rsid w:val="00DF6221"/>
    <w:rsid w:val="00E009E5"/>
    <w:rsid w:val="00E00F89"/>
    <w:rsid w:val="00E01400"/>
    <w:rsid w:val="00E042EC"/>
    <w:rsid w:val="00E05838"/>
    <w:rsid w:val="00E05F57"/>
    <w:rsid w:val="00E06264"/>
    <w:rsid w:val="00E069AC"/>
    <w:rsid w:val="00E10F27"/>
    <w:rsid w:val="00E129BD"/>
    <w:rsid w:val="00E13A5A"/>
    <w:rsid w:val="00E1484D"/>
    <w:rsid w:val="00E16396"/>
    <w:rsid w:val="00E16530"/>
    <w:rsid w:val="00E16BEF"/>
    <w:rsid w:val="00E16FAA"/>
    <w:rsid w:val="00E22B7A"/>
    <w:rsid w:val="00E255E1"/>
    <w:rsid w:val="00E2788A"/>
    <w:rsid w:val="00E304DE"/>
    <w:rsid w:val="00E321DD"/>
    <w:rsid w:val="00E329F1"/>
    <w:rsid w:val="00E32E36"/>
    <w:rsid w:val="00E339E4"/>
    <w:rsid w:val="00E36CF4"/>
    <w:rsid w:val="00E42A6E"/>
    <w:rsid w:val="00E43D3E"/>
    <w:rsid w:val="00E51144"/>
    <w:rsid w:val="00E531EC"/>
    <w:rsid w:val="00E54DD8"/>
    <w:rsid w:val="00E5589E"/>
    <w:rsid w:val="00E62B30"/>
    <w:rsid w:val="00E65A60"/>
    <w:rsid w:val="00E669C4"/>
    <w:rsid w:val="00E66ED5"/>
    <w:rsid w:val="00E70C1A"/>
    <w:rsid w:val="00E70D1E"/>
    <w:rsid w:val="00E710FE"/>
    <w:rsid w:val="00E714C7"/>
    <w:rsid w:val="00E71A3E"/>
    <w:rsid w:val="00E733D3"/>
    <w:rsid w:val="00E744BB"/>
    <w:rsid w:val="00E74D91"/>
    <w:rsid w:val="00E75E82"/>
    <w:rsid w:val="00E810F5"/>
    <w:rsid w:val="00E82DAF"/>
    <w:rsid w:val="00E83681"/>
    <w:rsid w:val="00E85297"/>
    <w:rsid w:val="00E91C29"/>
    <w:rsid w:val="00E93180"/>
    <w:rsid w:val="00E9446F"/>
    <w:rsid w:val="00E966E0"/>
    <w:rsid w:val="00E979F3"/>
    <w:rsid w:val="00EA13AC"/>
    <w:rsid w:val="00EA7A6E"/>
    <w:rsid w:val="00EA7C20"/>
    <w:rsid w:val="00EB1C01"/>
    <w:rsid w:val="00EB7FFB"/>
    <w:rsid w:val="00EC04ED"/>
    <w:rsid w:val="00EC091D"/>
    <w:rsid w:val="00EC0D6C"/>
    <w:rsid w:val="00EC1D28"/>
    <w:rsid w:val="00EC33CD"/>
    <w:rsid w:val="00EC4183"/>
    <w:rsid w:val="00EC50B9"/>
    <w:rsid w:val="00EC59A0"/>
    <w:rsid w:val="00ED19D4"/>
    <w:rsid w:val="00ED369A"/>
    <w:rsid w:val="00ED5DD5"/>
    <w:rsid w:val="00ED630C"/>
    <w:rsid w:val="00ED6907"/>
    <w:rsid w:val="00EE0E1D"/>
    <w:rsid w:val="00EE287C"/>
    <w:rsid w:val="00EE5406"/>
    <w:rsid w:val="00EE714C"/>
    <w:rsid w:val="00EF1D45"/>
    <w:rsid w:val="00EF2791"/>
    <w:rsid w:val="00EF3590"/>
    <w:rsid w:val="00EF38F9"/>
    <w:rsid w:val="00F00FCE"/>
    <w:rsid w:val="00F02430"/>
    <w:rsid w:val="00F0634A"/>
    <w:rsid w:val="00F0743E"/>
    <w:rsid w:val="00F07E88"/>
    <w:rsid w:val="00F104C1"/>
    <w:rsid w:val="00F14284"/>
    <w:rsid w:val="00F142B6"/>
    <w:rsid w:val="00F1592E"/>
    <w:rsid w:val="00F16066"/>
    <w:rsid w:val="00F16D6F"/>
    <w:rsid w:val="00F232F1"/>
    <w:rsid w:val="00F23408"/>
    <w:rsid w:val="00F23FC7"/>
    <w:rsid w:val="00F24C04"/>
    <w:rsid w:val="00F258B4"/>
    <w:rsid w:val="00F260BF"/>
    <w:rsid w:val="00F27F9F"/>
    <w:rsid w:val="00F30E2E"/>
    <w:rsid w:val="00F31792"/>
    <w:rsid w:val="00F317D8"/>
    <w:rsid w:val="00F32968"/>
    <w:rsid w:val="00F32D19"/>
    <w:rsid w:val="00F40E32"/>
    <w:rsid w:val="00F42722"/>
    <w:rsid w:val="00F45C73"/>
    <w:rsid w:val="00F461AC"/>
    <w:rsid w:val="00F4778D"/>
    <w:rsid w:val="00F50447"/>
    <w:rsid w:val="00F5086C"/>
    <w:rsid w:val="00F521CF"/>
    <w:rsid w:val="00F53A2C"/>
    <w:rsid w:val="00F556B8"/>
    <w:rsid w:val="00F55D21"/>
    <w:rsid w:val="00F60109"/>
    <w:rsid w:val="00F604B7"/>
    <w:rsid w:val="00F6069B"/>
    <w:rsid w:val="00F61238"/>
    <w:rsid w:val="00F648D9"/>
    <w:rsid w:val="00F81D69"/>
    <w:rsid w:val="00F81FEC"/>
    <w:rsid w:val="00F83FFF"/>
    <w:rsid w:val="00F8618B"/>
    <w:rsid w:val="00F90E1A"/>
    <w:rsid w:val="00F923C4"/>
    <w:rsid w:val="00F92850"/>
    <w:rsid w:val="00FA2747"/>
    <w:rsid w:val="00FA3E69"/>
    <w:rsid w:val="00FA5217"/>
    <w:rsid w:val="00FA685B"/>
    <w:rsid w:val="00FA6E9E"/>
    <w:rsid w:val="00FA7905"/>
    <w:rsid w:val="00FA7A90"/>
    <w:rsid w:val="00FA7EBA"/>
    <w:rsid w:val="00FB0BA6"/>
    <w:rsid w:val="00FB0C46"/>
    <w:rsid w:val="00FB2547"/>
    <w:rsid w:val="00FB45CF"/>
    <w:rsid w:val="00FB64F3"/>
    <w:rsid w:val="00FC0281"/>
    <w:rsid w:val="00FC088D"/>
    <w:rsid w:val="00FC170A"/>
    <w:rsid w:val="00FC3134"/>
    <w:rsid w:val="00FC338B"/>
    <w:rsid w:val="00FC4071"/>
    <w:rsid w:val="00FC45BC"/>
    <w:rsid w:val="00FC4DEE"/>
    <w:rsid w:val="00FC6409"/>
    <w:rsid w:val="00FC6C80"/>
    <w:rsid w:val="00FC73B4"/>
    <w:rsid w:val="00FD3D11"/>
    <w:rsid w:val="00FD52A6"/>
    <w:rsid w:val="00FE01EC"/>
    <w:rsid w:val="00FE1D51"/>
    <w:rsid w:val="00FE6078"/>
    <w:rsid w:val="00FE67C9"/>
    <w:rsid w:val="00FE7FCB"/>
    <w:rsid w:val="00FF1082"/>
    <w:rsid w:val="00FF1FF6"/>
    <w:rsid w:val="00FF3646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5F9E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0281"/>
    <w:rPr>
      <w:sz w:val="24"/>
      <w:szCs w:val="24"/>
    </w:rPr>
  </w:style>
  <w:style w:type="paragraph" w:styleId="Cmsor1">
    <w:name w:val="heading 1"/>
    <w:basedOn w:val="Norml"/>
    <w:next w:val="Norml"/>
    <w:qFormat/>
    <w:rsid w:val="002D19E8"/>
    <w:pPr>
      <w:keepNext/>
      <w:numPr>
        <w:numId w:val="30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2D19E8"/>
    <w:pPr>
      <w:keepNext/>
      <w:numPr>
        <w:ilvl w:val="1"/>
        <w:numId w:val="3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6E0B1F"/>
    <w:pPr>
      <w:keepNext/>
      <w:numPr>
        <w:ilvl w:val="2"/>
        <w:numId w:val="30"/>
      </w:numPr>
      <w:outlineLvl w:val="2"/>
    </w:pPr>
    <w:rPr>
      <w:b/>
    </w:rPr>
  </w:style>
  <w:style w:type="paragraph" w:styleId="Cmsor4">
    <w:name w:val="heading 4"/>
    <w:basedOn w:val="Norml"/>
    <w:next w:val="Norml"/>
    <w:qFormat/>
    <w:rsid w:val="002D19E8"/>
    <w:pPr>
      <w:keepNext/>
      <w:numPr>
        <w:ilvl w:val="3"/>
        <w:numId w:val="30"/>
      </w:numPr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2D19E8"/>
    <w:pPr>
      <w:numPr>
        <w:ilvl w:val="4"/>
        <w:numId w:val="3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2D19E8"/>
    <w:pPr>
      <w:numPr>
        <w:ilvl w:val="5"/>
        <w:numId w:val="30"/>
      </w:num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2D19E8"/>
    <w:pPr>
      <w:numPr>
        <w:ilvl w:val="6"/>
        <w:numId w:val="30"/>
      </w:numPr>
      <w:spacing w:before="240" w:after="60"/>
      <w:outlineLvl w:val="6"/>
    </w:pPr>
  </w:style>
  <w:style w:type="paragraph" w:styleId="Cmsor8">
    <w:name w:val="heading 8"/>
    <w:basedOn w:val="Norml"/>
    <w:next w:val="Norml"/>
    <w:qFormat/>
    <w:rsid w:val="002D19E8"/>
    <w:pPr>
      <w:numPr>
        <w:ilvl w:val="7"/>
        <w:numId w:val="30"/>
      </w:numPr>
      <w:spacing w:before="240" w:after="60"/>
      <w:outlineLvl w:val="7"/>
    </w:pPr>
    <w:rPr>
      <w:i/>
      <w:iCs/>
    </w:rPr>
  </w:style>
  <w:style w:type="paragraph" w:styleId="Cmsor9">
    <w:name w:val="heading 9"/>
    <w:basedOn w:val="Norml"/>
    <w:next w:val="Norml"/>
    <w:qFormat/>
    <w:rsid w:val="002D19E8"/>
    <w:pPr>
      <w:numPr>
        <w:ilvl w:val="8"/>
        <w:numId w:val="3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cm-rebehzott">
    <w:name w:val="1 cm-re behúzott"/>
    <w:basedOn w:val="Norml"/>
    <w:link w:val="1cm-rebehzottChar1"/>
    <w:rsid w:val="00B20742"/>
    <w:pPr>
      <w:ind w:firstLine="567"/>
      <w:jc w:val="both"/>
    </w:pPr>
    <w:rPr>
      <w:bCs/>
      <w:szCs w:val="28"/>
      <w:lang w:eastAsia="en-US"/>
    </w:rPr>
  </w:style>
  <w:style w:type="character" w:customStyle="1" w:styleId="1cm-rebehzottChar1">
    <w:name w:val="1 cm-re behúzott Char1"/>
    <w:link w:val="1cm-rebehzott"/>
    <w:rsid w:val="00B20742"/>
    <w:rPr>
      <w:bCs/>
      <w:sz w:val="24"/>
      <w:szCs w:val="28"/>
      <w:lang w:val="hu-HU" w:eastAsia="en-US" w:bidi="ar-SA"/>
    </w:rPr>
  </w:style>
  <w:style w:type="paragraph" w:styleId="Szvegtrzs2">
    <w:name w:val="Body Text 2"/>
    <w:basedOn w:val="Norml"/>
    <w:rsid w:val="006E0B1F"/>
    <w:pPr>
      <w:spacing w:after="120" w:line="480" w:lineRule="auto"/>
    </w:pPr>
  </w:style>
  <w:style w:type="paragraph" w:styleId="lfej">
    <w:name w:val="header"/>
    <w:basedOn w:val="Norml"/>
    <w:rsid w:val="00C844BB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C844BB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C82D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semiHidden/>
    <w:rsid w:val="000A04DE"/>
    <w:rPr>
      <w:sz w:val="20"/>
      <w:szCs w:val="20"/>
    </w:rPr>
  </w:style>
  <w:style w:type="character" w:styleId="Lbjegyzet-hivatkozs">
    <w:name w:val="footnote reference"/>
    <w:semiHidden/>
    <w:rsid w:val="000A04DE"/>
    <w:rPr>
      <w:vertAlign w:val="superscript"/>
    </w:rPr>
  </w:style>
  <w:style w:type="paragraph" w:customStyle="1" w:styleId="Stlus1">
    <w:name w:val="Stílus1"/>
    <w:basedOn w:val="Cm"/>
    <w:rsid w:val="00402FB6"/>
    <w:rPr>
      <w:rFonts w:ascii="Times New Roman" w:hAnsi="Times New Roman"/>
      <w:sz w:val="28"/>
      <w:szCs w:val="28"/>
    </w:rPr>
  </w:style>
  <w:style w:type="character" w:styleId="Hiperhivatkozs">
    <w:name w:val="Hyperlink"/>
    <w:rsid w:val="0038315B"/>
    <w:rPr>
      <w:color w:val="0000FF"/>
      <w:u w:val="single"/>
    </w:rPr>
  </w:style>
  <w:style w:type="paragraph" w:styleId="Cm">
    <w:name w:val="Title"/>
    <w:basedOn w:val="Norml"/>
    <w:qFormat/>
    <w:rsid w:val="00402FB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J1">
    <w:name w:val="toc 1"/>
    <w:basedOn w:val="Norml"/>
    <w:next w:val="Norml"/>
    <w:autoRedefine/>
    <w:semiHidden/>
    <w:rsid w:val="00560116"/>
    <w:pPr>
      <w:tabs>
        <w:tab w:val="left" w:pos="480"/>
        <w:tab w:val="right" w:leader="dot" w:pos="9062"/>
      </w:tabs>
    </w:pPr>
  </w:style>
  <w:style w:type="paragraph" w:styleId="TJ2">
    <w:name w:val="toc 2"/>
    <w:basedOn w:val="Norml"/>
    <w:next w:val="Norml"/>
    <w:autoRedefine/>
    <w:semiHidden/>
    <w:rsid w:val="00572B07"/>
    <w:pPr>
      <w:ind w:left="240"/>
    </w:pPr>
  </w:style>
  <w:style w:type="character" w:styleId="Oldalszm">
    <w:name w:val="page number"/>
    <w:basedOn w:val="Bekezdsalapbettpusa"/>
    <w:rsid w:val="0072566D"/>
  </w:style>
  <w:style w:type="character" w:styleId="Mrltotthiperhivatkozs">
    <w:name w:val="FollowedHyperlink"/>
    <w:rsid w:val="00C94D7C"/>
    <w:rPr>
      <w:color w:val="800080"/>
      <w:u w:val="single"/>
    </w:rPr>
  </w:style>
  <w:style w:type="paragraph" w:styleId="TJ3">
    <w:name w:val="toc 3"/>
    <w:basedOn w:val="Norml"/>
    <w:next w:val="Norml"/>
    <w:autoRedefine/>
    <w:semiHidden/>
    <w:rsid w:val="00A666F4"/>
    <w:pPr>
      <w:ind w:left="480"/>
    </w:pPr>
  </w:style>
  <w:style w:type="paragraph" w:customStyle="1" w:styleId="lead">
    <w:name w:val="lead"/>
    <w:basedOn w:val="Norml"/>
    <w:rsid w:val="00850E61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rsid w:val="00794A0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794A0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00EA4"/>
    <w:pPr>
      <w:ind w:left="720"/>
      <w:contextualSpacing/>
    </w:pPr>
  </w:style>
  <w:style w:type="paragraph" w:styleId="NormlWeb">
    <w:name w:val="Normal (Web)"/>
    <w:basedOn w:val="Norml"/>
    <w:semiHidden/>
    <w:unhideWhenUsed/>
    <w:rsid w:val="003555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C0281"/>
    <w:rPr>
      <w:sz w:val="24"/>
      <w:szCs w:val="24"/>
    </w:rPr>
  </w:style>
  <w:style w:type="paragraph" w:styleId="Cmsor1">
    <w:name w:val="heading 1"/>
    <w:basedOn w:val="Norml"/>
    <w:next w:val="Norml"/>
    <w:qFormat/>
    <w:rsid w:val="002D19E8"/>
    <w:pPr>
      <w:keepNext/>
      <w:numPr>
        <w:numId w:val="30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qFormat/>
    <w:rsid w:val="002D19E8"/>
    <w:pPr>
      <w:keepNext/>
      <w:numPr>
        <w:ilvl w:val="1"/>
        <w:numId w:val="3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6E0B1F"/>
    <w:pPr>
      <w:keepNext/>
      <w:numPr>
        <w:ilvl w:val="2"/>
        <w:numId w:val="30"/>
      </w:numPr>
      <w:outlineLvl w:val="2"/>
    </w:pPr>
    <w:rPr>
      <w:b/>
    </w:rPr>
  </w:style>
  <w:style w:type="paragraph" w:styleId="Cmsor4">
    <w:name w:val="heading 4"/>
    <w:basedOn w:val="Norml"/>
    <w:next w:val="Norml"/>
    <w:qFormat/>
    <w:rsid w:val="002D19E8"/>
    <w:pPr>
      <w:keepNext/>
      <w:numPr>
        <w:ilvl w:val="3"/>
        <w:numId w:val="30"/>
      </w:numPr>
      <w:spacing w:before="240" w:after="60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qFormat/>
    <w:rsid w:val="002D19E8"/>
    <w:pPr>
      <w:numPr>
        <w:ilvl w:val="4"/>
        <w:numId w:val="3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2D19E8"/>
    <w:pPr>
      <w:numPr>
        <w:ilvl w:val="5"/>
        <w:numId w:val="30"/>
      </w:num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2D19E8"/>
    <w:pPr>
      <w:numPr>
        <w:ilvl w:val="6"/>
        <w:numId w:val="30"/>
      </w:numPr>
      <w:spacing w:before="240" w:after="60"/>
      <w:outlineLvl w:val="6"/>
    </w:pPr>
  </w:style>
  <w:style w:type="paragraph" w:styleId="Cmsor8">
    <w:name w:val="heading 8"/>
    <w:basedOn w:val="Norml"/>
    <w:next w:val="Norml"/>
    <w:qFormat/>
    <w:rsid w:val="002D19E8"/>
    <w:pPr>
      <w:numPr>
        <w:ilvl w:val="7"/>
        <w:numId w:val="30"/>
      </w:numPr>
      <w:spacing w:before="240" w:after="60"/>
      <w:outlineLvl w:val="7"/>
    </w:pPr>
    <w:rPr>
      <w:i/>
      <w:iCs/>
    </w:rPr>
  </w:style>
  <w:style w:type="paragraph" w:styleId="Cmsor9">
    <w:name w:val="heading 9"/>
    <w:basedOn w:val="Norml"/>
    <w:next w:val="Norml"/>
    <w:qFormat/>
    <w:rsid w:val="002D19E8"/>
    <w:pPr>
      <w:numPr>
        <w:ilvl w:val="8"/>
        <w:numId w:val="3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1cm-rebehzott">
    <w:name w:val="1 cm-re behúzott"/>
    <w:basedOn w:val="Norml"/>
    <w:link w:val="1cm-rebehzottChar1"/>
    <w:rsid w:val="00B20742"/>
    <w:pPr>
      <w:ind w:firstLine="567"/>
      <w:jc w:val="both"/>
    </w:pPr>
    <w:rPr>
      <w:bCs/>
      <w:szCs w:val="28"/>
      <w:lang w:eastAsia="en-US"/>
    </w:rPr>
  </w:style>
  <w:style w:type="character" w:customStyle="1" w:styleId="1cm-rebehzottChar1">
    <w:name w:val="1 cm-re behúzott Char1"/>
    <w:link w:val="1cm-rebehzott"/>
    <w:rsid w:val="00B20742"/>
    <w:rPr>
      <w:bCs/>
      <w:sz w:val="24"/>
      <w:szCs w:val="28"/>
      <w:lang w:val="hu-HU" w:eastAsia="en-US" w:bidi="ar-SA"/>
    </w:rPr>
  </w:style>
  <w:style w:type="paragraph" w:styleId="Szvegtrzs2">
    <w:name w:val="Body Text 2"/>
    <w:basedOn w:val="Norml"/>
    <w:rsid w:val="006E0B1F"/>
    <w:pPr>
      <w:spacing w:after="120" w:line="480" w:lineRule="auto"/>
    </w:pPr>
  </w:style>
  <w:style w:type="paragraph" w:styleId="lfej">
    <w:name w:val="header"/>
    <w:basedOn w:val="Norml"/>
    <w:rsid w:val="00C844BB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C844BB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C82D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semiHidden/>
    <w:rsid w:val="000A04DE"/>
    <w:rPr>
      <w:sz w:val="20"/>
      <w:szCs w:val="20"/>
    </w:rPr>
  </w:style>
  <w:style w:type="character" w:styleId="Lbjegyzet-hivatkozs">
    <w:name w:val="footnote reference"/>
    <w:semiHidden/>
    <w:rsid w:val="000A04DE"/>
    <w:rPr>
      <w:vertAlign w:val="superscript"/>
    </w:rPr>
  </w:style>
  <w:style w:type="paragraph" w:customStyle="1" w:styleId="Stlus1">
    <w:name w:val="Stílus1"/>
    <w:basedOn w:val="Cm"/>
    <w:rsid w:val="00402FB6"/>
    <w:rPr>
      <w:rFonts w:ascii="Times New Roman" w:hAnsi="Times New Roman"/>
      <w:sz w:val="28"/>
      <w:szCs w:val="28"/>
    </w:rPr>
  </w:style>
  <w:style w:type="character" w:styleId="Hiperhivatkozs">
    <w:name w:val="Hyperlink"/>
    <w:rsid w:val="0038315B"/>
    <w:rPr>
      <w:color w:val="0000FF"/>
      <w:u w:val="single"/>
    </w:rPr>
  </w:style>
  <w:style w:type="paragraph" w:styleId="Cm">
    <w:name w:val="Title"/>
    <w:basedOn w:val="Norml"/>
    <w:qFormat/>
    <w:rsid w:val="00402FB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J1">
    <w:name w:val="toc 1"/>
    <w:basedOn w:val="Norml"/>
    <w:next w:val="Norml"/>
    <w:autoRedefine/>
    <w:semiHidden/>
    <w:rsid w:val="00560116"/>
    <w:pPr>
      <w:tabs>
        <w:tab w:val="left" w:pos="480"/>
        <w:tab w:val="right" w:leader="dot" w:pos="9062"/>
      </w:tabs>
    </w:pPr>
  </w:style>
  <w:style w:type="paragraph" w:styleId="TJ2">
    <w:name w:val="toc 2"/>
    <w:basedOn w:val="Norml"/>
    <w:next w:val="Norml"/>
    <w:autoRedefine/>
    <w:semiHidden/>
    <w:rsid w:val="00572B07"/>
    <w:pPr>
      <w:ind w:left="240"/>
    </w:pPr>
  </w:style>
  <w:style w:type="character" w:styleId="Oldalszm">
    <w:name w:val="page number"/>
    <w:basedOn w:val="Bekezdsalapbettpusa"/>
    <w:rsid w:val="0072566D"/>
  </w:style>
  <w:style w:type="character" w:styleId="Mrltotthiperhivatkozs">
    <w:name w:val="FollowedHyperlink"/>
    <w:rsid w:val="00C94D7C"/>
    <w:rPr>
      <w:color w:val="800080"/>
      <w:u w:val="single"/>
    </w:rPr>
  </w:style>
  <w:style w:type="paragraph" w:styleId="TJ3">
    <w:name w:val="toc 3"/>
    <w:basedOn w:val="Norml"/>
    <w:next w:val="Norml"/>
    <w:autoRedefine/>
    <w:semiHidden/>
    <w:rsid w:val="00A666F4"/>
    <w:pPr>
      <w:ind w:left="480"/>
    </w:pPr>
  </w:style>
  <w:style w:type="paragraph" w:customStyle="1" w:styleId="lead">
    <w:name w:val="lead"/>
    <w:basedOn w:val="Norml"/>
    <w:rsid w:val="00850E61"/>
    <w:pPr>
      <w:spacing w:before="100" w:beforeAutospacing="1" w:after="100" w:afterAutospacing="1"/>
    </w:pPr>
  </w:style>
  <w:style w:type="paragraph" w:styleId="Buborkszveg">
    <w:name w:val="Balloon Text"/>
    <w:basedOn w:val="Norml"/>
    <w:link w:val="BuborkszvegChar"/>
    <w:rsid w:val="00794A0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794A0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600EA4"/>
    <w:pPr>
      <w:ind w:left="720"/>
      <w:contextualSpacing/>
    </w:pPr>
  </w:style>
  <w:style w:type="paragraph" w:styleId="NormlWeb">
    <w:name w:val="Normal (Web)"/>
    <w:basedOn w:val="Norml"/>
    <w:semiHidden/>
    <w:unhideWhenUsed/>
    <w:rsid w:val="00355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18" Type="http://schemas.openxmlformats.org/officeDocument/2006/relationships/chart" Target="charts/chart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17" Type="http://schemas.openxmlformats.org/officeDocument/2006/relationships/chart" Target="charts/chart6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chart" Target="charts/chart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hart" Target="charts/chart4.xml"/><Relationship Id="rId10" Type="http://schemas.openxmlformats.org/officeDocument/2006/relationships/footer" Target="footer1.xml"/><Relationship Id="rId19" Type="http://schemas.openxmlformats.org/officeDocument/2006/relationships/chart" Target="charts/chart8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hart" Target="charts/chart3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egyek.onkiroda@bicomix.hu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2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3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4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5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6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7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8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9.bin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/>
              <a:t>Közfoglalkoztatottak iskolai végzettség szerinti megoszlása </a:t>
            </a:r>
          </a:p>
        </c:rich>
      </c:tx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rgbClr val="FFFF00"/>
              </a:solidFill>
            </c:spPr>
          </c:dPt>
          <c:dPt>
            <c:idx val="1"/>
            <c:bubble3D val="0"/>
            <c:spPr>
              <a:solidFill>
                <a:srgbClr val="FF0000"/>
              </a:solidFill>
            </c:spPr>
          </c:dPt>
          <c:dLbls>
            <c:numFmt formatCode="0.0%" sourceLinked="0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'[2024. évi végleges.xlsx]Iskolai végz., munkakör '!$A$2:$A$7</c:f>
              <c:strCache>
                <c:ptCount val="6"/>
                <c:pt idx="0">
                  <c:v>Általános iskola 0-7 osztály</c:v>
                </c:pt>
                <c:pt idx="1">
                  <c:v>Általános iskola 8 osztály</c:v>
                </c:pt>
                <c:pt idx="2">
                  <c:v>Szakmunkásképző, szakiskola</c:v>
                </c:pt>
                <c:pt idx="3">
                  <c:v>Szakközépiskola</c:v>
                </c:pt>
                <c:pt idx="4">
                  <c:v>Gimnázium</c:v>
                </c:pt>
                <c:pt idx="5">
                  <c:v>Egyetem, főiskola</c:v>
                </c:pt>
              </c:strCache>
            </c:strRef>
          </c:cat>
          <c:val>
            <c:numRef>
              <c:f>'[2024. évi végleges.xlsx]Iskolai végz., munkakör '!$B$2:$B$7</c:f>
              <c:numCache>
                <c:formatCode>General</c:formatCode>
                <c:ptCount val="6"/>
                <c:pt idx="0">
                  <c:v>40</c:v>
                </c:pt>
                <c:pt idx="1">
                  <c:v>242</c:v>
                </c:pt>
                <c:pt idx="2">
                  <c:v>76</c:v>
                </c:pt>
                <c:pt idx="3">
                  <c:v>14</c:v>
                </c:pt>
                <c:pt idx="4">
                  <c:v>43</c:v>
                </c:pt>
                <c:pt idx="5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txPr>
    <a:bodyPr/>
    <a:lstStyle/>
    <a:p>
      <a:pPr>
        <a:defRPr>
          <a:latin typeface="Comic Sans MS" panose="030F0702030302020204" pitchFamily="66" charset="0"/>
        </a:defRPr>
      </a:pPr>
      <a:endParaRPr lang="hu-H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>
                <a:latin typeface="Comic Sans MS" panose="030F0702030302020204" pitchFamily="66" charset="0"/>
              </a:rPr>
              <a:t>Közfoglalkoztatottak nem és életkor szerinti megoszlása</a:t>
            </a:r>
          </a:p>
        </c:rich>
      </c:tx>
      <c:overlay val="0"/>
    </c:title>
    <c:autoTitleDeleted val="0"/>
    <c:plotArea>
      <c:layout/>
      <c:areaChart>
        <c:grouping val="percentStacked"/>
        <c:varyColors val="0"/>
        <c:ser>
          <c:idx val="0"/>
          <c:order val="0"/>
          <c:tx>
            <c:strRef>
              <c:f>'[2024. évi végleges.xlsx]Nem, Életkor'!$B$3</c:f>
              <c:strCache>
                <c:ptCount val="1"/>
                <c:pt idx="0">
                  <c:v>Férfi </c:v>
                </c:pt>
              </c:strCache>
            </c:strRef>
          </c:tx>
          <c:spPr>
            <a:solidFill>
              <a:srgbClr val="00B0F0"/>
            </a:solidFill>
          </c:spPr>
          <c:cat>
            <c:strRef>
              <c:f>'[2024. évi végleges.xlsx]Nem, Életkor'!$A$4:$A$7</c:f>
              <c:strCache>
                <c:ptCount val="4"/>
                <c:pt idx="0">
                  <c:v>16-25</c:v>
                </c:pt>
                <c:pt idx="1">
                  <c:v>26-39</c:v>
                </c:pt>
                <c:pt idx="2">
                  <c:v>40-49</c:v>
                </c:pt>
                <c:pt idx="3">
                  <c:v>50-</c:v>
                </c:pt>
              </c:strCache>
            </c:strRef>
          </c:cat>
          <c:val>
            <c:numRef>
              <c:f>'[2024. évi végleges.xlsx]Nem, Életkor'!$B$4:$B$7</c:f>
              <c:numCache>
                <c:formatCode>General</c:formatCode>
                <c:ptCount val="4"/>
                <c:pt idx="0">
                  <c:v>24</c:v>
                </c:pt>
                <c:pt idx="1">
                  <c:v>20</c:v>
                </c:pt>
                <c:pt idx="2">
                  <c:v>21</c:v>
                </c:pt>
                <c:pt idx="3">
                  <c:v>43</c:v>
                </c:pt>
              </c:numCache>
            </c:numRef>
          </c:val>
        </c:ser>
        <c:ser>
          <c:idx val="1"/>
          <c:order val="1"/>
          <c:tx>
            <c:strRef>
              <c:f>'[2024. évi végleges.xlsx]Nem, Életkor'!$C$3</c:f>
              <c:strCache>
                <c:ptCount val="1"/>
                <c:pt idx="0">
                  <c:v>Nő</c:v>
                </c:pt>
              </c:strCache>
            </c:strRef>
          </c:tx>
          <c:spPr>
            <a:solidFill>
              <a:srgbClr val="FF0000"/>
            </a:solidFill>
          </c:spPr>
          <c:cat>
            <c:strRef>
              <c:f>'[2024. évi végleges.xlsx]Nem, Életkor'!$A$4:$A$7</c:f>
              <c:strCache>
                <c:ptCount val="4"/>
                <c:pt idx="0">
                  <c:v>16-25</c:v>
                </c:pt>
                <c:pt idx="1">
                  <c:v>26-39</c:v>
                </c:pt>
                <c:pt idx="2">
                  <c:v>40-49</c:v>
                </c:pt>
                <c:pt idx="3">
                  <c:v>50-</c:v>
                </c:pt>
              </c:strCache>
            </c:strRef>
          </c:cat>
          <c:val>
            <c:numRef>
              <c:f>'[2024. évi végleges.xlsx]Nem, Életkor'!$C$4:$C$7</c:f>
              <c:numCache>
                <c:formatCode>General</c:formatCode>
                <c:ptCount val="4"/>
                <c:pt idx="0">
                  <c:v>54</c:v>
                </c:pt>
                <c:pt idx="1">
                  <c:v>87</c:v>
                </c:pt>
                <c:pt idx="2">
                  <c:v>62</c:v>
                </c:pt>
                <c:pt idx="3">
                  <c:v>111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39793920"/>
        <c:axId val="139795840"/>
      </c:areaChart>
      <c:catAx>
        <c:axId val="1397939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>
                    <a:latin typeface="Comic Sans MS" panose="030F0702030302020204" pitchFamily="66" charset="0"/>
                  </a:defRPr>
                </a:pPr>
                <a:r>
                  <a:rPr lang="hu-HU">
                    <a:latin typeface="Comic Sans MS" panose="030F0702030302020204" pitchFamily="66" charset="0"/>
                  </a:rPr>
                  <a:t>Életkor</a:t>
                </a:r>
              </a:p>
            </c:rich>
          </c:tx>
          <c:overlay val="0"/>
        </c:title>
        <c:majorTickMark val="none"/>
        <c:minorTickMark val="none"/>
        <c:tickLblPos val="nextTo"/>
        <c:txPr>
          <a:bodyPr/>
          <a:lstStyle/>
          <a:p>
            <a:pPr>
              <a:defRPr>
                <a:latin typeface="Comic Sans MS" panose="030F0702030302020204" pitchFamily="66" charset="0"/>
              </a:defRPr>
            </a:pPr>
            <a:endParaRPr lang="hu-HU"/>
          </a:p>
        </c:txPr>
        <c:crossAx val="139795840"/>
        <c:crosses val="autoZero"/>
        <c:auto val="1"/>
        <c:lblAlgn val="ctr"/>
        <c:lblOffset val="100"/>
        <c:noMultiLvlLbl val="0"/>
      </c:catAx>
      <c:valAx>
        <c:axId val="139795840"/>
        <c:scaling>
          <c:orientation val="minMax"/>
        </c:scaling>
        <c:delete val="0"/>
        <c:axPos val="l"/>
        <c:majorGridlines/>
        <c:minorGridlines/>
        <c:numFmt formatCode="0%" sourceLinked="1"/>
        <c:majorTickMark val="none"/>
        <c:minorTickMark val="none"/>
        <c:tickLblPos val="nextTo"/>
        <c:txPr>
          <a:bodyPr/>
          <a:lstStyle/>
          <a:p>
            <a:pPr>
              <a:defRPr>
                <a:latin typeface="Comic Sans MS" panose="030F0702030302020204" pitchFamily="66" charset="0"/>
              </a:defRPr>
            </a:pPr>
            <a:endParaRPr lang="hu-HU"/>
          </a:p>
        </c:txPr>
        <c:crossAx val="139793920"/>
        <c:crosses val="autoZero"/>
        <c:crossBetween val="midCat"/>
      </c:valAx>
    </c:plotArea>
    <c:legend>
      <c:legendPos val="r"/>
      <c:overlay val="0"/>
      <c:txPr>
        <a:bodyPr/>
        <a:lstStyle/>
        <a:p>
          <a:pPr>
            <a:defRPr>
              <a:latin typeface="Comic Sans MS" panose="030F0702030302020204" pitchFamily="66" charset="0"/>
            </a:defRPr>
          </a:pPr>
          <a:endParaRPr lang="hu-HU"/>
        </a:p>
      </c:txPr>
    </c:legend>
    <c:plotVisOnly val="1"/>
    <c:dispBlanksAs val="zero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</c:sp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 sz="1600">
                <a:latin typeface="Comic Sans MS" panose="030F0702030302020204" pitchFamily="66" charset="0"/>
              </a:rPr>
              <a:t>Munkaviszony megszüntetések 2020-2024</a:t>
            </a:r>
          </a:p>
        </c:rich>
      </c:tx>
      <c:layout>
        <c:manualLayout>
          <c:xMode val="edge"/>
          <c:yMode val="edge"/>
          <c:x val="8.9180664916885394E-2"/>
          <c:y val="2.7777777777777776E-2"/>
        </c:manualLayout>
      </c:layout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'[2024. évi végleges.xlsx]munkav. megsz. '!$A$10</c:f>
              <c:strCache>
                <c:ptCount val="1"/>
                <c:pt idx="0">
                  <c:v>Rendkívüli felmondás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cat>
            <c:strRef>
              <c:f>'[2024. évi végleges.xlsx]munkav. megsz. '!$B$9:$F$9</c:f>
              <c:strCach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strCache>
            </c:strRef>
          </c:cat>
          <c:val>
            <c:numRef>
              <c:f>'[2024. évi végleges.xlsx]munkav. megsz. '!$B$10:$F$10</c:f>
              <c:numCache>
                <c:formatCode>General</c:formatCode>
                <c:ptCount val="5"/>
                <c:pt idx="0">
                  <c:v>0</c:v>
                </c:pt>
                <c:pt idx="1">
                  <c:v>5</c:v>
                </c:pt>
                <c:pt idx="2">
                  <c:v>7</c:v>
                </c:pt>
                <c:pt idx="3">
                  <c:v>6</c:v>
                </c:pt>
                <c:pt idx="4">
                  <c:v>9</c:v>
                </c:pt>
              </c:numCache>
            </c:numRef>
          </c:val>
        </c:ser>
        <c:ser>
          <c:idx val="1"/>
          <c:order val="1"/>
          <c:tx>
            <c:strRef>
              <c:f>'[2024. évi végleges.xlsx]munkav. megsz. '!$A$11</c:f>
              <c:strCache>
                <c:ptCount val="1"/>
                <c:pt idx="0">
                  <c:v>Közös megegyezés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</c:spPr>
          <c:invertIfNegative val="0"/>
          <c:cat>
            <c:strRef>
              <c:f>'[2024. évi végleges.xlsx]munkav. megsz. '!$B$9:$F$9</c:f>
              <c:strCach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strCache>
            </c:strRef>
          </c:cat>
          <c:val>
            <c:numRef>
              <c:f>'[2024. évi végleges.xlsx]munkav. megsz. '!$B$11:$F$11</c:f>
              <c:numCache>
                <c:formatCode>General</c:formatCode>
                <c:ptCount val="5"/>
                <c:pt idx="0">
                  <c:v>114</c:v>
                </c:pt>
                <c:pt idx="1">
                  <c:v>165</c:v>
                </c:pt>
                <c:pt idx="2">
                  <c:v>124</c:v>
                </c:pt>
                <c:pt idx="3">
                  <c:v>153</c:v>
                </c:pt>
                <c:pt idx="4">
                  <c:v>132</c:v>
                </c:pt>
              </c:numCache>
            </c:numRef>
          </c:val>
        </c:ser>
        <c:ser>
          <c:idx val="2"/>
          <c:order val="2"/>
          <c:tx>
            <c:strRef>
              <c:f>'[2024. évi végleges.xlsx]munkav. megsz. '!$A$12</c:f>
              <c:strCache>
                <c:ptCount val="1"/>
                <c:pt idx="0">
                  <c:v>Munkavállaló elhunyt</c:v>
                </c:pt>
              </c:strCache>
            </c:strRef>
          </c:tx>
          <c:spPr>
            <a:solidFill>
              <a:schemeClr val="tx1"/>
            </a:solidFill>
          </c:spPr>
          <c:invertIfNegative val="0"/>
          <c:cat>
            <c:strRef>
              <c:f>'[2024. évi végleges.xlsx]munkav. megsz. '!$B$9:$F$9</c:f>
              <c:strCach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strCache>
            </c:strRef>
          </c:cat>
          <c:val>
            <c:numRef>
              <c:f>'[2024. évi végleges.xlsx]munkav. megsz. '!$B$12:$F$12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1</c:v>
                </c:pt>
                <c:pt idx="3">
                  <c:v>2</c:v>
                </c:pt>
                <c:pt idx="4">
                  <c:v>1</c:v>
                </c:pt>
              </c:numCache>
            </c:numRef>
          </c:val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41511296"/>
        <c:axId val="145502592"/>
      </c:barChart>
      <c:catAx>
        <c:axId val="141511296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>
                <a:latin typeface="Comic Sans MS" panose="030F0702030302020204" pitchFamily="66" charset="0"/>
              </a:defRPr>
            </a:pPr>
            <a:endParaRPr lang="hu-HU"/>
          </a:p>
        </c:txPr>
        <c:crossAx val="145502592"/>
        <c:crosses val="autoZero"/>
        <c:auto val="1"/>
        <c:lblAlgn val="ctr"/>
        <c:lblOffset val="100"/>
        <c:noMultiLvlLbl val="0"/>
      </c:catAx>
      <c:valAx>
        <c:axId val="145502592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>
                    <a:latin typeface="Comic Sans MS" panose="030F0702030302020204" pitchFamily="66" charset="0"/>
                  </a:defRPr>
                </a:pPr>
                <a:r>
                  <a:rPr lang="hu-HU">
                    <a:latin typeface="Comic Sans MS" panose="030F0702030302020204" pitchFamily="66" charset="0"/>
                  </a:rPr>
                  <a:t>Fő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41511296"/>
        <c:crosses val="autoZero"/>
        <c:crossBetween val="between"/>
      </c:valAx>
      <c:dTable>
        <c:showHorzBorder val="1"/>
        <c:showVertBorder val="1"/>
        <c:showOutline val="1"/>
        <c:showKeys val="1"/>
        <c:txPr>
          <a:bodyPr/>
          <a:lstStyle/>
          <a:p>
            <a:pPr rtl="0">
              <a:defRPr sz="900">
                <a:latin typeface="Comic Sans MS" panose="030F0702030302020204" pitchFamily="66" charset="0"/>
              </a:defRPr>
            </a:pPr>
            <a:endParaRPr lang="hu-HU"/>
          </a:p>
        </c:txPr>
      </c:dTable>
      <c:spPr>
        <a:gradFill>
          <a:gsLst>
            <a:gs pos="0">
              <a:srgbClr val="03D4A8"/>
            </a:gs>
            <a:gs pos="25000">
              <a:srgbClr val="21D6E0"/>
            </a:gs>
            <a:gs pos="75000">
              <a:srgbClr val="0087E6"/>
            </a:gs>
            <a:gs pos="100000">
              <a:srgbClr val="005CBF"/>
            </a:gs>
          </a:gsLst>
          <a:lin ang="16200000" scaled="0"/>
        </a:gradFill>
      </c:spPr>
    </c:plotArea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>
                <a:latin typeface="Comic Sans MS" panose="030F0702030302020204" pitchFamily="66" charset="0"/>
              </a:rPr>
              <a:t>Összes támogatás</a:t>
            </a:r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'[2024. évi végleges.xlsx]elnyert tám.'!$C$10</c:f>
              <c:strCache>
                <c:ptCount val="1"/>
                <c:pt idx="0">
                  <c:v>Összes támogatás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FF00"/>
              </a:solidFill>
            </c:spPr>
          </c:dPt>
          <c:dPt>
            <c:idx val="1"/>
            <c:invertIfNegative val="0"/>
            <c:bubble3D val="0"/>
            <c:spPr>
              <a:solidFill>
                <a:srgbClr val="FFFF00"/>
              </a:solidFill>
            </c:spPr>
          </c:dPt>
          <c:dPt>
            <c:idx val="2"/>
            <c:invertIfNegative val="0"/>
            <c:bubble3D val="0"/>
            <c:spPr>
              <a:solidFill>
                <a:srgbClr val="FFFF00"/>
              </a:solidFill>
            </c:spPr>
          </c:dPt>
          <c:dPt>
            <c:idx val="3"/>
            <c:invertIfNegative val="0"/>
            <c:bubble3D val="0"/>
            <c:spPr>
              <a:solidFill>
                <a:srgbClr val="FFFF00"/>
              </a:solidFill>
            </c:spPr>
          </c:dPt>
          <c:dPt>
            <c:idx val="4"/>
            <c:invertIfNegative val="0"/>
            <c:bubble3D val="0"/>
            <c:spPr>
              <a:solidFill>
                <a:srgbClr val="FFFF00"/>
              </a:solidFill>
            </c:spPr>
          </c:dPt>
          <c:dLbls>
            <c:txPr>
              <a:bodyPr/>
              <a:lstStyle/>
              <a:p>
                <a:pPr>
                  <a:defRPr>
                    <a:latin typeface="Comic Sans MS" panose="030F0702030302020204" pitchFamily="66" charset="0"/>
                  </a:defRPr>
                </a:pPr>
                <a:endParaRPr lang="hu-H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'[2024. évi végleges.xlsx]elnyert tám.'!$B$11:$B$15</c:f>
              <c:numCache>
                <c:formatCode>General</c:formatCode>
                <c:ptCount val="5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  <c:pt idx="4">
                  <c:v>2024</c:v>
                </c:pt>
              </c:numCache>
            </c:numRef>
          </c:cat>
          <c:val>
            <c:numRef>
              <c:f>'[2024. évi végleges.xlsx]elnyert tám.'!$C$11:$C$15</c:f>
              <c:numCache>
                <c:formatCode>#,##0</c:formatCode>
                <c:ptCount val="5"/>
                <c:pt idx="0">
                  <c:v>516355925</c:v>
                </c:pt>
                <c:pt idx="1">
                  <c:v>513050710</c:v>
                </c:pt>
                <c:pt idx="2">
                  <c:v>497135004</c:v>
                </c:pt>
                <c:pt idx="3">
                  <c:v>523548724</c:v>
                </c:pt>
                <c:pt idx="4">
                  <c:v>486015335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8058496"/>
        <c:axId val="148060032"/>
      </c:barChart>
      <c:catAx>
        <c:axId val="14805849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Comic Sans MS" panose="030F0702030302020204" pitchFamily="66" charset="0"/>
              </a:defRPr>
            </a:pPr>
            <a:endParaRPr lang="hu-HU"/>
          </a:p>
        </c:txPr>
        <c:crossAx val="148060032"/>
        <c:crosses val="autoZero"/>
        <c:auto val="1"/>
        <c:lblAlgn val="ctr"/>
        <c:lblOffset val="100"/>
        <c:noMultiLvlLbl val="0"/>
      </c:catAx>
      <c:valAx>
        <c:axId val="148060032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hu-HU">
                    <a:latin typeface="Comic Sans MS" panose="030F0702030302020204" pitchFamily="66" charset="0"/>
                  </a:rPr>
                  <a:t>Ft</a:t>
                </a:r>
                <a:endParaRPr lang="en-US">
                  <a:latin typeface="Comic Sans MS" panose="030F0702030302020204" pitchFamily="66" charset="0"/>
                </a:endParaRPr>
              </a:p>
            </c:rich>
          </c:tx>
          <c:overlay val="0"/>
        </c:title>
        <c:numFmt formatCode="#,##0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Comic Sans MS" panose="030F0702030302020204" pitchFamily="66" charset="0"/>
              </a:defRPr>
            </a:pPr>
            <a:endParaRPr lang="hu-HU"/>
          </a:p>
        </c:txPr>
        <c:crossAx val="148058496"/>
        <c:crosses val="autoZero"/>
        <c:crossBetween val="between"/>
      </c:valAx>
      <c:spPr>
        <a:gradFill>
          <a:gsLst>
            <a:gs pos="0">
              <a:srgbClr val="03D4A8"/>
            </a:gs>
            <a:gs pos="25000">
              <a:srgbClr val="21D6E0"/>
            </a:gs>
            <a:gs pos="75000">
              <a:srgbClr val="0087E6"/>
            </a:gs>
            <a:gs pos="100000">
              <a:srgbClr val="005CBF"/>
            </a:gs>
          </a:gsLst>
          <a:lin ang="16200000" scaled="0"/>
        </a:gradFill>
      </c:spPr>
    </c:plotArea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/>
              <a:t>Figyelmeztetések 2020-2024</a:t>
            </a:r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'[2024. évi végleges.xlsx]Figyelmeztetések '!$H$3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Pt>
            <c:idx val="3"/>
            <c:invertIfNegative val="0"/>
            <c:bubble3D val="0"/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'[2024. évi végleges.xlsx]Figyelmeztetések '!$G$4</c:f>
              <c:strCache>
                <c:ptCount val="1"/>
                <c:pt idx="0">
                  <c:v>Figyelmeztetések összesen</c:v>
                </c:pt>
              </c:strCache>
            </c:strRef>
          </c:cat>
          <c:val>
            <c:numRef>
              <c:f>'[2024. évi végleges.xlsx]Figyelmeztetések '!$H$4</c:f>
              <c:numCache>
                <c:formatCode>General</c:formatCode>
                <c:ptCount val="1"/>
                <c:pt idx="0">
                  <c:v>46</c:v>
                </c:pt>
              </c:numCache>
            </c:numRef>
          </c:val>
        </c:ser>
        <c:ser>
          <c:idx val="1"/>
          <c:order val="1"/>
          <c:tx>
            <c:strRef>
              <c:f>'[2024. évi végleges.xlsx]Figyelmeztetések '!$I$3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'[2024. évi végleges.xlsx]Figyelmeztetések '!$G$4</c:f>
              <c:strCache>
                <c:ptCount val="1"/>
                <c:pt idx="0">
                  <c:v>Figyelmeztetések összesen</c:v>
                </c:pt>
              </c:strCache>
            </c:strRef>
          </c:cat>
          <c:val>
            <c:numRef>
              <c:f>'[2024. évi végleges.xlsx]Figyelmeztetések '!$I$4</c:f>
              <c:numCache>
                <c:formatCode>General</c:formatCode>
                <c:ptCount val="1"/>
                <c:pt idx="0">
                  <c:v>243</c:v>
                </c:pt>
              </c:numCache>
            </c:numRef>
          </c:val>
        </c:ser>
        <c:ser>
          <c:idx val="2"/>
          <c:order val="2"/>
          <c:tx>
            <c:strRef>
              <c:f>'[2024. évi végleges.xlsx]Figyelmeztetések '!$J$3</c:f>
              <c:strCache>
                <c:ptCount val="1"/>
                <c:pt idx="0">
                  <c:v>2022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'[2024. évi végleges.xlsx]Figyelmeztetések '!$G$4</c:f>
              <c:strCache>
                <c:ptCount val="1"/>
                <c:pt idx="0">
                  <c:v>Figyelmeztetések összesen</c:v>
                </c:pt>
              </c:strCache>
            </c:strRef>
          </c:cat>
          <c:val>
            <c:numRef>
              <c:f>'[2024. évi végleges.xlsx]Figyelmeztetések '!$J$4</c:f>
              <c:numCache>
                <c:formatCode>General</c:formatCode>
                <c:ptCount val="1"/>
                <c:pt idx="0">
                  <c:v>219</c:v>
                </c:pt>
              </c:numCache>
            </c:numRef>
          </c:val>
        </c:ser>
        <c:ser>
          <c:idx val="3"/>
          <c:order val="3"/>
          <c:tx>
            <c:strRef>
              <c:f>'[2024. évi végleges.xlsx]Figyelmeztetések '!$K$3</c:f>
              <c:strCache>
                <c:ptCount val="1"/>
                <c:pt idx="0">
                  <c:v>2023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'[2024. évi végleges.xlsx]Figyelmeztetések '!$G$4</c:f>
              <c:strCache>
                <c:ptCount val="1"/>
                <c:pt idx="0">
                  <c:v>Figyelmeztetések összesen</c:v>
                </c:pt>
              </c:strCache>
            </c:strRef>
          </c:cat>
          <c:val>
            <c:numRef>
              <c:f>'[2024. évi végleges.xlsx]Figyelmeztetések '!$K$4</c:f>
              <c:numCache>
                <c:formatCode>General</c:formatCode>
                <c:ptCount val="1"/>
                <c:pt idx="0">
                  <c:v>498</c:v>
                </c:pt>
              </c:numCache>
            </c:numRef>
          </c:val>
        </c:ser>
        <c:ser>
          <c:idx val="4"/>
          <c:order val="4"/>
          <c:tx>
            <c:strRef>
              <c:f>'[2024. évi végleges.xlsx]Figyelmeztetések '!$L$3</c:f>
              <c:strCache>
                <c:ptCount val="1"/>
                <c:pt idx="0">
                  <c:v>2024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'[2024. évi végleges.xlsx]Figyelmeztetések '!$G$4</c:f>
              <c:strCache>
                <c:ptCount val="1"/>
                <c:pt idx="0">
                  <c:v>Figyelmeztetések összesen</c:v>
                </c:pt>
              </c:strCache>
            </c:strRef>
          </c:cat>
          <c:val>
            <c:numRef>
              <c:f>'[2024. évi végleges.xlsx]Figyelmeztetések '!$L$4</c:f>
              <c:numCache>
                <c:formatCode>General</c:formatCode>
                <c:ptCount val="1"/>
                <c:pt idx="0">
                  <c:v>358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0359040"/>
        <c:axId val="150369024"/>
      </c:barChart>
      <c:catAx>
        <c:axId val="150359040"/>
        <c:scaling>
          <c:orientation val="minMax"/>
        </c:scaling>
        <c:delete val="0"/>
        <c:axPos val="l"/>
        <c:majorTickMark val="none"/>
        <c:minorTickMark val="none"/>
        <c:tickLblPos val="nextTo"/>
        <c:crossAx val="150369024"/>
        <c:crosses val="autoZero"/>
        <c:auto val="1"/>
        <c:lblAlgn val="ctr"/>
        <c:lblOffset val="100"/>
        <c:noMultiLvlLbl val="0"/>
      </c:catAx>
      <c:valAx>
        <c:axId val="150369024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Db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50359040"/>
        <c:crosses val="autoZero"/>
        <c:crossBetween val="between"/>
      </c:valAx>
      <c:spPr>
        <a:gradFill>
          <a:gsLst>
            <a:gs pos="0">
              <a:srgbClr val="03D4A8"/>
            </a:gs>
            <a:gs pos="25000">
              <a:srgbClr val="21D6E0"/>
            </a:gs>
            <a:gs pos="75000">
              <a:srgbClr val="0087E6"/>
            </a:gs>
            <a:gs pos="100000">
              <a:srgbClr val="005CBF"/>
            </a:gs>
          </a:gsLst>
          <a:lin ang="16200000" scaled="0"/>
        </a:gradFill>
      </c:spPr>
    </c:plotArea>
    <c:legend>
      <c:legendPos val="r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txPr>
    <a:bodyPr/>
    <a:lstStyle/>
    <a:p>
      <a:pPr>
        <a:defRPr>
          <a:latin typeface="Comic Sans MS" panose="030F0702030302020204" pitchFamily="66" charset="0"/>
        </a:defRPr>
      </a:pPr>
      <a:endParaRPr lang="hu-H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/>
              <a:t>Távollétek havi bontásban 2020-2024 (fő)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'[2024. évi végleges.xlsx]Távollétek'!$B$54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tx2">
                <a:lumMod val="50000"/>
              </a:schemeClr>
            </a:solidFill>
            <a:ln w="25400" cmpd="dbl">
              <a:noFill/>
              <a:prstDash val="sysDot"/>
            </a:ln>
          </c:spPr>
          <c:invertIfNegative val="0"/>
          <c:cat>
            <c:strRef>
              <c:f>'[2024. évi végleges.xlsx]Távollétek'!$A$55:$A$66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'[2024. évi végleges.xlsx]Távollétek'!$B$55:$B$66</c:f>
              <c:numCache>
                <c:formatCode>General</c:formatCode>
                <c:ptCount val="12"/>
                <c:pt idx="0">
                  <c:v>127</c:v>
                </c:pt>
                <c:pt idx="1">
                  <c:v>114</c:v>
                </c:pt>
                <c:pt idx="2">
                  <c:v>43</c:v>
                </c:pt>
                <c:pt idx="3">
                  <c:v>43</c:v>
                </c:pt>
                <c:pt idx="4">
                  <c:v>53</c:v>
                </c:pt>
                <c:pt idx="5">
                  <c:v>104</c:v>
                </c:pt>
                <c:pt idx="6">
                  <c:v>139</c:v>
                </c:pt>
                <c:pt idx="7">
                  <c:v>127</c:v>
                </c:pt>
                <c:pt idx="8">
                  <c:v>98</c:v>
                </c:pt>
                <c:pt idx="9">
                  <c:v>108</c:v>
                </c:pt>
                <c:pt idx="10">
                  <c:v>156</c:v>
                </c:pt>
                <c:pt idx="11">
                  <c:v>139</c:v>
                </c:pt>
              </c:numCache>
            </c:numRef>
          </c:val>
        </c:ser>
        <c:ser>
          <c:idx val="1"/>
          <c:order val="1"/>
          <c:tx>
            <c:strRef>
              <c:f>'[2024. évi végleges.xlsx]Távollétek'!$C$54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cat>
            <c:strRef>
              <c:f>'[2024. évi végleges.xlsx]Távollétek'!$A$55:$A$66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'[2024. évi végleges.xlsx]Távollétek'!$C$55:$C$66</c:f>
              <c:numCache>
                <c:formatCode>General</c:formatCode>
                <c:ptCount val="12"/>
                <c:pt idx="0">
                  <c:v>78</c:v>
                </c:pt>
                <c:pt idx="1">
                  <c:v>74</c:v>
                </c:pt>
                <c:pt idx="2">
                  <c:v>52</c:v>
                </c:pt>
                <c:pt idx="3">
                  <c:v>49</c:v>
                </c:pt>
                <c:pt idx="4">
                  <c:v>109</c:v>
                </c:pt>
                <c:pt idx="5">
                  <c:v>113</c:v>
                </c:pt>
                <c:pt idx="6">
                  <c:v>86</c:v>
                </c:pt>
                <c:pt idx="7">
                  <c:v>112</c:v>
                </c:pt>
                <c:pt idx="8">
                  <c:v>144</c:v>
                </c:pt>
                <c:pt idx="9">
                  <c:v>156</c:v>
                </c:pt>
                <c:pt idx="10">
                  <c:v>126</c:v>
                </c:pt>
                <c:pt idx="11">
                  <c:v>81</c:v>
                </c:pt>
              </c:numCache>
            </c:numRef>
          </c:val>
        </c:ser>
        <c:ser>
          <c:idx val="2"/>
          <c:order val="2"/>
          <c:tx>
            <c:strRef>
              <c:f>'[2024. évi végleges.xlsx]Távollétek'!$D$54</c:f>
              <c:strCache>
                <c:ptCount val="1"/>
                <c:pt idx="0">
                  <c:v>2022</c:v>
                </c:pt>
              </c:strCache>
            </c:strRef>
          </c:tx>
          <c:invertIfNegative val="0"/>
          <c:cat>
            <c:strRef>
              <c:f>'[2024. évi végleges.xlsx]Távollétek'!$A$55:$A$66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'[2024. évi végleges.xlsx]Távollétek'!$D$55:$D$66</c:f>
              <c:numCache>
                <c:formatCode>General</c:formatCode>
                <c:ptCount val="12"/>
                <c:pt idx="0">
                  <c:v>86</c:v>
                </c:pt>
                <c:pt idx="1">
                  <c:v>126</c:v>
                </c:pt>
                <c:pt idx="2">
                  <c:v>92</c:v>
                </c:pt>
                <c:pt idx="3">
                  <c:v>91</c:v>
                </c:pt>
                <c:pt idx="4">
                  <c:v>89</c:v>
                </c:pt>
                <c:pt idx="5">
                  <c:v>113</c:v>
                </c:pt>
                <c:pt idx="6">
                  <c:v>94</c:v>
                </c:pt>
                <c:pt idx="7">
                  <c:v>111</c:v>
                </c:pt>
                <c:pt idx="8">
                  <c:v>85</c:v>
                </c:pt>
                <c:pt idx="9">
                  <c:v>62</c:v>
                </c:pt>
                <c:pt idx="10">
                  <c:v>71</c:v>
                </c:pt>
                <c:pt idx="11">
                  <c:v>80</c:v>
                </c:pt>
              </c:numCache>
            </c:numRef>
          </c:val>
        </c:ser>
        <c:ser>
          <c:idx val="3"/>
          <c:order val="3"/>
          <c:tx>
            <c:strRef>
              <c:f>'[2024. évi végleges.xlsx]Távollétek'!$E$54</c:f>
              <c:strCache>
                <c:ptCount val="1"/>
                <c:pt idx="0">
                  <c:v>2023</c:v>
                </c:pt>
              </c:strCache>
            </c:strRef>
          </c:tx>
          <c:invertIfNegative val="0"/>
          <c:cat>
            <c:strRef>
              <c:f>'[2024. évi végleges.xlsx]Távollétek'!$A$55:$A$66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'[2024. évi végleges.xlsx]Távollétek'!$E$55:$E$66</c:f>
              <c:numCache>
                <c:formatCode>General</c:formatCode>
                <c:ptCount val="12"/>
                <c:pt idx="0">
                  <c:v>66</c:v>
                </c:pt>
                <c:pt idx="1">
                  <c:v>86</c:v>
                </c:pt>
                <c:pt idx="2">
                  <c:v>61</c:v>
                </c:pt>
                <c:pt idx="3">
                  <c:v>85</c:v>
                </c:pt>
                <c:pt idx="4">
                  <c:v>84</c:v>
                </c:pt>
                <c:pt idx="5">
                  <c:v>125</c:v>
                </c:pt>
                <c:pt idx="6">
                  <c:v>146</c:v>
                </c:pt>
                <c:pt idx="7">
                  <c:v>96</c:v>
                </c:pt>
                <c:pt idx="8">
                  <c:v>72</c:v>
                </c:pt>
                <c:pt idx="9">
                  <c:v>88</c:v>
                </c:pt>
                <c:pt idx="10">
                  <c:v>84</c:v>
                </c:pt>
                <c:pt idx="11">
                  <c:v>49</c:v>
                </c:pt>
              </c:numCache>
            </c:numRef>
          </c:val>
        </c:ser>
        <c:ser>
          <c:idx val="4"/>
          <c:order val="4"/>
          <c:tx>
            <c:strRef>
              <c:f>'[2024. évi végleges.xlsx]Távollétek'!$F$54</c:f>
              <c:strCache>
                <c:ptCount val="1"/>
                <c:pt idx="0">
                  <c:v>2024</c:v>
                </c:pt>
              </c:strCache>
            </c:strRef>
          </c:tx>
          <c:spPr>
            <a:solidFill>
              <a:srgbClr val="FFFF00"/>
            </a:solidFill>
          </c:spPr>
          <c:invertIfNegative val="0"/>
          <c:cat>
            <c:strRef>
              <c:f>'[2024. évi végleges.xlsx]Távollétek'!$A$55:$A$66</c:f>
              <c:strCache>
                <c:ptCount val="12"/>
                <c:pt idx="0">
                  <c:v>Január</c:v>
                </c:pt>
                <c:pt idx="1">
                  <c:v>Február</c:v>
                </c:pt>
                <c:pt idx="2">
                  <c:v>Március</c:v>
                </c:pt>
                <c:pt idx="3">
                  <c:v>Április</c:v>
                </c:pt>
                <c:pt idx="4">
                  <c:v>Május</c:v>
                </c:pt>
                <c:pt idx="5">
                  <c:v>Június</c:v>
                </c:pt>
                <c:pt idx="6">
                  <c:v>Július</c:v>
                </c:pt>
                <c:pt idx="7">
                  <c:v>Augusztus</c:v>
                </c:pt>
                <c:pt idx="8">
                  <c:v>Szeptember</c:v>
                </c:pt>
                <c:pt idx="9">
                  <c:v>Október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'[2024. évi végleges.xlsx]Távollétek'!$F$55:$F$66</c:f>
              <c:numCache>
                <c:formatCode>General</c:formatCode>
                <c:ptCount val="12"/>
                <c:pt idx="0">
                  <c:v>110</c:v>
                </c:pt>
                <c:pt idx="1">
                  <c:v>99</c:v>
                </c:pt>
                <c:pt idx="2">
                  <c:v>45</c:v>
                </c:pt>
                <c:pt idx="3">
                  <c:v>72</c:v>
                </c:pt>
                <c:pt idx="4">
                  <c:v>99</c:v>
                </c:pt>
                <c:pt idx="5">
                  <c:v>131</c:v>
                </c:pt>
                <c:pt idx="6">
                  <c:v>135</c:v>
                </c:pt>
                <c:pt idx="7">
                  <c:v>99</c:v>
                </c:pt>
                <c:pt idx="8">
                  <c:v>127</c:v>
                </c:pt>
                <c:pt idx="9">
                  <c:v>113</c:v>
                </c:pt>
                <c:pt idx="10">
                  <c:v>107</c:v>
                </c:pt>
                <c:pt idx="11">
                  <c:v>76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50407808"/>
        <c:axId val="150434176"/>
      </c:barChart>
      <c:catAx>
        <c:axId val="150407808"/>
        <c:scaling>
          <c:orientation val="minMax"/>
        </c:scaling>
        <c:delete val="0"/>
        <c:axPos val="b"/>
        <c:majorTickMark val="none"/>
        <c:minorTickMark val="none"/>
        <c:tickLblPos val="nextTo"/>
        <c:crossAx val="150434176"/>
        <c:crosses val="autoZero"/>
        <c:auto val="1"/>
        <c:lblAlgn val="ctr"/>
        <c:lblOffset val="100"/>
        <c:noMultiLvlLbl val="0"/>
      </c:catAx>
      <c:valAx>
        <c:axId val="150434176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one"/>
        <c:crossAx val="150407808"/>
        <c:crosses val="autoZero"/>
        <c:crossBetween val="between"/>
      </c:valAx>
      <c:dTable>
        <c:showHorzBorder val="1"/>
        <c:showVertBorder val="1"/>
        <c:showOutline val="1"/>
        <c:showKeys val="0"/>
      </c:dTable>
      <c:spPr>
        <a:gradFill>
          <a:gsLst>
            <a:gs pos="0">
              <a:srgbClr val="03D4A8"/>
            </a:gs>
            <a:gs pos="25000">
              <a:srgbClr val="21D6E0"/>
            </a:gs>
            <a:gs pos="75000">
              <a:srgbClr val="0087E6"/>
            </a:gs>
            <a:gs pos="100000">
              <a:srgbClr val="005CBF"/>
            </a:gs>
          </a:gsLst>
          <a:lin ang="16200000" scaled="0"/>
        </a:gradFill>
      </c:spPr>
    </c:plotArea>
    <c:legend>
      <c:legendPos val="b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txPr>
    <a:bodyPr/>
    <a:lstStyle/>
    <a:p>
      <a:pPr>
        <a:defRPr sz="800">
          <a:latin typeface="Comic Sans MS" panose="030F0702030302020204" pitchFamily="66" charset="0"/>
        </a:defRPr>
      </a:pPr>
      <a:endParaRPr lang="hu-H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Távollétek összehasonlítása</a:t>
            </a:r>
            <a:r>
              <a:rPr lang="hu-HU"/>
              <a:t> (fő)</a:t>
            </a:r>
            <a:endParaRPr lang="en-US"/>
          </a:p>
        </c:rich>
      </c:tx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rgbClr val="F3F9A5"/>
              </a:solidFill>
            </c:spPr>
          </c:dPt>
          <c:dPt>
            <c:idx val="1"/>
            <c:invertIfNegative val="0"/>
            <c:bubble3D val="0"/>
            <c:spPr>
              <a:solidFill>
                <a:schemeClr val="tx2">
                  <a:lumMod val="50000"/>
                </a:schemeClr>
              </a:solidFill>
            </c:spPr>
          </c:dPt>
          <c:dPt>
            <c:idx val="2"/>
            <c:invertIfNegative val="0"/>
            <c:bubble3D val="0"/>
            <c:spPr>
              <a:solidFill>
                <a:srgbClr val="FF0000"/>
              </a:solidFill>
            </c:spPr>
          </c:dPt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'[2024. évi végleges.xlsx]Távollétek'!$B$20:$E$20</c:f>
              <c:strCache>
                <c:ptCount val="4"/>
                <c:pt idx="0">
                  <c:v>Igazolatlan távollét</c:v>
                </c:pt>
                <c:pt idx="1">
                  <c:v>Keresőképtelenség (betegszabadság, táppénz)</c:v>
                </c:pt>
                <c:pt idx="2">
                  <c:v>Igazolt távollét</c:v>
                </c:pt>
                <c:pt idx="3">
                  <c:v>Fizetés nélküli szabadság</c:v>
                </c:pt>
              </c:strCache>
            </c:strRef>
          </c:cat>
          <c:val>
            <c:numRef>
              <c:f>'[2024. évi végleges.xlsx]Távollétek'!$B$33:$E$33</c:f>
              <c:numCache>
                <c:formatCode>General</c:formatCode>
                <c:ptCount val="4"/>
                <c:pt idx="0">
                  <c:v>307</c:v>
                </c:pt>
                <c:pt idx="1">
                  <c:v>841</c:v>
                </c:pt>
                <c:pt idx="2">
                  <c:v>42</c:v>
                </c:pt>
                <c:pt idx="3">
                  <c:v>23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50468096"/>
        <c:axId val="148086144"/>
      </c:barChart>
      <c:valAx>
        <c:axId val="148086144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hu-HU"/>
                  <a:t>Fő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150468096"/>
        <c:crosses val="autoZero"/>
        <c:crossBetween val="between"/>
      </c:valAx>
      <c:catAx>
        <c:axId val="150468096"/>
        <c:scaling>
          <c:orientation val="minMax"/>
        </c:scaling>
        <c:delete val="0"/>
        <c:axPos val="l"/>
        <c:majorTickMark val="out"/>
        <c:minorTickMark val="none"/>
        <c:tickLblPos val="nextTo"/>
        <c:crossAx val="148086144"/>
        <c:crosses val="autoZero"/>
        <c:auto val="1"/>
        <c:lblAlgn val="ctr"/>
        <c:lblOffset val="100"/>
        <c:noMultiLvlLbl val="0"/>
      </c:catAx>
      <c:spPr>
        <a:gradFill>
          <a:gsLst>
            <a:gs pos="0">
              <a:srgbClr val="03D4A8"/>
            </a:gs>
            <a:gs pos="25000">
              <a:srgbClr val="21D6E0"/>
            </a:gs>
            <a:gs pos="75000">
              <a:srgbClr val="0087E6"/>
            </a:gs>
            <a:gs pos="100000">
              <a:srgbClr val="005CBF"/>
            </a:gs>
          </a:gsLst>
          <a:lin ang="16200000" scaled="0"/>
        </a:gradFill>
      </c:spPr>
    </c:plotArea>
    <c:legend>
      <c:legendPos val="r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txPr>
    <a:bodyPr/>
    <a:lstStyle/>
    <a:p>
      <a:pPr>
        <a:defRPr>
          <a:latin typeface="Comic Sans MS" panose="030F0702030302020204" pitchFamily="66" charset="0"/>
        </a:defRPr>
      </a:pPr>
      <a:endParaRPr lang="hu-H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hu-HU"/>
              <a:t>Közfoglalkoztatottak munkakör szerinti megoszlása</a:t>
            </a:r>
          </a:p>
        </c:rich>
      </c:tx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Pt>
            <c:idx val="3"/>
            <c:bubble3D val="0"/>
            <c:spPr>
              <a:solidFill>
                <a:srgbClr val="FFFF00"/>
              </a:solidFill>
            </c:spPr>
          </c:dPt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'[2024. évi végleges.xlsx]Iskolai végz., munkakör '!$A$13:$A$18</c:f>
              <c:strCache>
                <c:ptCount val="6"/>
                <c:pt idx="0">
                  <c:v>Adminisztrátor, egyéb ügyintéző</c:v>
                </c:pt>
                <c:pt idx="1">
                  <c:v>Brigádvezető</c:v>
                </c:pt>
                <c:pt idx="2">
                  <c:v>Szakmunkás</c:v>
                </c:pt>
                <c:pt idx="3">
                  <c:v>Egyéb intézményi munkakör</c:v>
                </c:pt>
                <c:pt idx="4">
                  <c:v>Segédmunkás</c:v>
                </c:pt>
                <c:pt idx="5">
                  <c:v>Szabó, varró</c:v>
                </c:pt>
              </c:strCache>
            </c:strRef>
          </c:cat>
          <c:val>
            <c:numRef>
              <c:f>'[2024. évi végleges.xlsx]Iskolai végz., munkakör '!$B$13:$B$18</c:f>
              <c:numCache>
                <c:formatCode>General</c:formatCode>
                <c:ptCount val="6"/>
                <c:pt idx="0">
                  <c:v>15</c:v>
                </c:pt>
                <c:pt idx="1">
                  <c:v>26</c:v>
                </c:pt>
                <c:pt idx="2">
                  <c:v>5</c:v>
                </c:pt>
                <c:pt idx="3">
                  <c:v>34</c:v>
                </c:pt>
                <c:pt idx="4">
                  <c:v>316</c:v>
                </c:pt>
                <c:pt idx="5">
                  <c:v>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txPr>
    <a:bodyPr/>
    <a:lstStyle/>
    <a:p>
      <a:pPr>
        <a:defRPr>
          <a:latin typeface="Comic Sans MS" panose="030F0702030302020204" pitchFamily="66" charset="0"/>
        </a:defRPr>
      </a:pPr>
      <a:endParaRPr lang="hu-H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1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Közfoglalkoztatottak életkor szerinti megoszlása</a:t>
            </a:r>
          </a:p>
        </c:rich>
      </c:tx>
      <c:overlay val="0"/>
    </c:title>
    <c:autoTitleDeleted val="0"/>
    <c:view3D>
      <c:rotX val="30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>
                  <a:lumMod val="40000"/>
                  <a:lumOff val="60000"/>
                </a:schemeClr>
              </a:solidFill>
            </c:spPr>
          </c:dPt>
          <c:dPt>
            <c:idx val="1"/>
            <c:bubble3D val="0"/>
            <c:spPr>
              <a:solidFill>
                <a:schemeClr val="accent3">
                  <a:lumMod val="60000"/>
                  <a:lumOff val="40000"/>
                </a:schemeClr>
              </a:solidFill>
            </c:spPr>
          </c:dPt>
          <c:dPt>
            <c:idx val="2"/>
            <c:bubble3D val="0"/>
            <c:spPr>
              <a:solidFill>
                <a:schemeClr val="bg2">
                  <a:lumMod val="50000"/>
                </a:schemeClr>
              </a:solidFill>
            </c:spPr>
          </c:dPt>
          <c:dPt>
            <c:idx val="3"/>
            <c:bubble3D val="0"/>
            <c:spPr>
              <a:solidFill>
                <a:srgbClr val="FF0000"/>
              </a:solidFill>
            </c:spPr>
          </c:dPt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'[2024. évi végleges.xlsx]Nem, Életkor'!$A$4:$A$7</c:f>
              <c:strCache>
                <c:ptCount val="4"/>
                <c:pt idx="0">
                  <c:v>16-25</c:v>
                </c:pt>
                <c:pt idx="1">
                  <c:v>26-39</c:v>
                </c:pt>
                <c:pt idx="2">
                  <c:v>40-49</c:v>
                </c:pt>
                <c:pt idx="3">
                  <c:v>50-</c:v>
                </c:pt>
              </c:strCache>
            </c:strRef>
          </c:cat>
          <c:val>
            <c:numRef>
              <c:f>'[2024. évi végleges.xlsx]Nem, Életkor'!$D$4:$D$7</c:f>
              <c:numCache>
                <c:formatCode>General</c:formatCode>
                <c:ptCount val="4"/>
                <c:pt idx="0">
                  <c:v>78</c:v>
                </c:pt>
                <c:pt idx="1">
                  <c:v>107</c:v>
                </c:pt>
                <c:pt idx="2">
                  <c:v>83</c:v>
                </c:pt>
                <c:pt idx="3">
                  <c:v>154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  <a:effectLst>
      <a:outerShdw blurRad="50800" dist="38100" dir="18900000" algn="bl" rotWithShape="0">
        <a:prstClr val="black">
          <a:alpha val="40000"/>
        </a:prstClr>
      </a:outerShdw>
    </a:effectLst>
  </c:spPr>
  <c:txPr>
    <a:bodyPr/>
    <a:lstStyle/>
    <a:p>
      <a:pPr>
        <a:defRPr>
          <a:latin typeface="Comic Sans MS" panose="030F0702030302020204" pitchFamily="66" charset="0"/>
        </a:defRPr>
      </a:pPr>
      <a:endParaRPr lang="hu-HU"/>
    </a:p>
  </c:txPr>
  <c:externalData r:id="rId3">
    <c:autoUpdate val="0"/>
  </c:externalData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3FC0F8-BFE5-4FA9-A5D2-566C69028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</Pages>
  <Words>1810</Words>
  <Characters>12490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Egyek Nagyközség Önkormányzatának</vt:lpstr>
    </vt:vector>
  </TitlesOfParts>
  <Company>Egyek Polgarmesteri Hivatal</Company>
  <LinksUpToDate>false</LinksUpToDate>
  <CharactersWithSpaces>14272</CharactersWithSpaces>
  <SharedDoc>false</SharedDoc>
  <HLinks>
    <vt:vector size="6" baseType="variant">
      <vt:variant>
        <vt:i4>7536659</vt:i4>
      </vt:variant>
      <vt:variant>
        <vt:i4>0</vt:i4>
      </vt:variant>
      <vt:variant>
        <vt:i4>0</vt:i4>
      </vt:variant>
      <vt:variant>
        <vt:i4>5</vt:i4>
      </vt:variant>
      <vt:variant>
        <vt:lpwstr>mailto:egyek.onkiroda@bicomix.hu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Egyek Nagyközség Önkormányzatának</dc:title>
  <dc:creator>Onkormanyzati Iroda</dc:creator>
  <cp:lastModifiedBy>ALJEGYZO</cp:lastModifiedBy>
  <cp:revision>4</cp:revision>
  <cp:lastPrinted>2020-01-23T09:56:00Z</cp:lastPrinted>
  <dcterms:created xsi:type="dcterms:W3CDTF">2025-01-15T07:50:00Z</dcterms:created>
  <dcterms:modified xsi:type="dcterms:W3CDTF">2025-01-17T08:01:00Z</dcterms:modified>
</cp:coreProperties>
</file>